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9C" w:rsidRDefault="001C7B2D">
      <w:pPr>
        <w:jc w:val="center"/>
        <w:rPr>
          <w:rFonts w:asciiTheme="majorHAnsi" w:hAnsiTheme="majorHAnsi"/>
          <w:b/>
          <w:bCs/>
          <w:sz w:val="32"/>
          <w:szCs w:val="32"/>
          <w:lang w:val="en-GB"/>
        </w:rPr>
      </w:pPr>
      <w:bookmarkStart w:id="0" w:name="_GoBack"/>
      <w:bookmarkEnd w:id="0"/>
      <w:r>
        <w:rPr>
          <w:rFonts w:ascii="Century Gothic" w:hAnsi="Century Gothic"/>
          <w:b/>
          <w:noProof/>
          <w:sz w:val="20"/>
          <w:szCs w:val="20"/>
          <w:lang w:val="fr-FR" w:eastAsia="fr-FR"/>
        </w:rPr>
        <w:drawing>
          <wp:inline distT="0" distB="0" distL="0" distR="0">
            <wp:extent cx="5270500" cy="2012315"/>
            <wp:effectExtent l="0" t="0" r="635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0500" cy="2012315"/>
                    </a:xfrm>
                    <a:prstGeom prst="rect">
                      <a:avLst/>
                    </a:prstGeom>
                  </pic:spPr>
                </pic:pic>
              </a:graphicData>
            </a:graphic>
          </wp:inline>
        </w:drawing>
      </w:r>
    </w:p>
    <w:p w:rsidR="000E599C" w:rsidRPr="00510F87" w:rsidRDefault="009D0E40" w:rsidP="00510F87">
      <w:pPr>
        <w:jc w:val="center"/>
        <w:rPr>
          <w:rFonts w:ascii="Times New Roman" w:eastAsiaTheme="majorEastAsia" w:hAnsi="Times New Roman" w:cs="Times New Roman"/>
          <w:b/>
          <w:bCs/>
          <w:sz w:val="24"/>
          <w:szCs w:val="24"/>
          <w:u w:val="single"/>
          <w:lang w:val="en-GB"/>
        </w:rPr>
      </w:pPr>
      <w:r w:rsidRPr="00510F87">
        <w:rPr>
          <w:rFonts w:ascii="Times New Roman" w:eastAsiaTheme="majorEastAsia" w:hAnsi="Times New Roman" w:cs="Times New Roman"/>
          <w:b/>
          <w:bCs/>
          <w:sz w:val="24"/>
          <w:szCs w:val="24"/>
          <w:u w:val="single"/>
          <w:lang w:val="en-GB"/>
        </w:rPr>
        <w:t xml:space="preserve">TB-Net Statement on </w:t>
      </w:r>
      <w:r w:rsidR="001C7B2D" w:rsidRPr="00510F87">
        <w:rPr>
          <w:rFonts w:ascii="Times New Roman" w:eastAsiaTheme="majorEastAsia" w:hAnsi="Times New Roman" w:cs="Times New Roman"/>
          <w:b/>
          <w:bCs/>
          <w:sz w:val="24"/>
          <w:szCs w:val="24"/>
          <w:u w:val="single"/>
          <w:lang w:val="en-GB"/>
        </w:rPr>
        <w:t>the 30</w:t>
      </w:r>
      <w:r w:rsidR="001C7B2D" w:rsidRPr="00510F87">
        <w:rPr>
          <w:rFonts w:ascii="Times New Roman" w:eastAsiaTheme="majorEastAsia" w:hAnsi="Times New Roman" w:cs="Times New Roman"/>
          <w:b/>
          <w:bCs/>
          <w:sz w:val="24"/>
          <w:szCs w:val="24"/>
          <w:u w:val="single"/>
          <w:vertAlign w:val="superscript"/>
          <w:lang w:val="en-GB"/>
        </w:rPr>
        <w:t>th</w:t>
      </w:r>
      <w:r w:rsidR="001C7B2D" w:rsidRPr="00510F87">
        <w:rPr>
          <w:rFonts w:ascii="Times New Roman" w:eastAsiaTheme="majorEastAsia" w:hAnsi="Times New Roman" w:cs="Times New Roman"/>
          <w:b/>
          <w:bCs/>
          <w:sz w:val="24"/>
          <w:szCs w:val="24"/>
          <w:u w:val="single"/>
          <w:lang w:val="en-GB"/>
        </w:rPr>
        <w:t xml:space="preserve"> meeting of Chairpersons of </w:t>
      </w:r>
      <w:r w:rsidR="00510F87" w:rsidRPr="00510F87">
        <w:rPr>
          <w:rFonts w:ascii="Times New Roman" w:eastAsiaTheme="majorEastAsia" w:hAnsi="Times New Roman" w:cs="Times New Roman"/>
          <w:b/>
          <w:bCs/>
          <w:sz w:val="24"/>
          <w:szCs w:val="24"/>
          <w:u w:val="single"/>
          <w:lang w:val="en-GB"/>
        </w:rPr>
        <w:t xml:space="preserve">the </w:t>
      </w:r>
      <w:r w:rsidR="001C7B2D" w:rsidRPr="00510F87">
        <w:rPr>
          <w:rFonts w:ascii="Times New Roman" w:eastAsiaTheme="majorEastAsia" w:hAnsi="Times New Roman" w:cs="Times New Roman"/>
          <w:b/>
          <w:bCs/>
          <w:sz w:val="24"/>
          <w:szCs w:val="24"/>
          <w:u w:val="single"/>
          <w:lang w:val="en-GB"/>
        </w:rPr>
        <w:t>Human Rights Treaty Bodies</w:t>
      </w:r>
    </w:p>
    <w:p w:rsidR="000E599C" w:rsidRPr="00424DB2" w:rsidRDefault="001C7B2D">
      <w:p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This is a joint statement on behalf of seven organizations</w:t>
      </w:r>
      <w:r w:rsidRPr="00424DB2">
        <w:rPr>
          <w:rStyle w:val="Marquenotebasdepage"/>
          <w:rFonts w:ascii="Times New Roman" w:hAnsi="Times New Roman" w:cs="Times New Roman"/>
          <w:sz w:val="24"/>
          <w:szCs w:val="24"/>
          <w:lang w:val="en-GB"/>
        </w:rPr>
        <w:footnoteReference w:id="1"/>
      </w:r>
      <w:r w:rsidRPr="00424DB2">
        <w:rPr>
          <w:rFonts w:ascii="Times New Roman" w:hAnsi="Times New Roman" w:cs="Times New Roman"/>
          <w:sz w:val="24"/>
          <w:szCs w:val="24"/>
          <w:lang w:val="en-GB"/>
        </w:rPr>
        <w:t xml:space="preserve">, which form the NGO Network on UN Treaty Bodies (TB-Net). Created in February 2017, TB-Net is an informal group of international NGOs and networks who work closely with the UN </w:t>
      </w:r>
      <w:r w:rsidR="00724973">
        <w:rPr>
          <w:rFonts w:ascii="Times New Roman" w:hAnsi="Times New Roman" w:cs="Times New Roman"/>
          <w:sz w:val="24"/>
          <w:szCs w:val="24"/>
          <w:lang w:val="en-GB"/>
        </w:rPr>
        <w:t>treaty b</w:t>
      </w:r>
      <w:r w:rsidRPr="00424DB2">
        <w:rPr>
          <w:rFonts w:ascii="Times New Roman" w:hAnsi="Times New Roman" w:cs="Times New Roman"/>
          <w:sz w:val="24"/>
          <w:szCs w:val="24"/>
          <w:lang w:val="en-GB"/>
        </w:rPr>
        <w:t xml:space="preserve">odies and have specialised expertise on their procedures and substantive work.  </w:t>
      </w:r>
    </w:p>
    <w:p w:rsidR="000E599C" w:rsidRPr="00424DB2" w:rsidRDefault="001C7B2D">
      <w:pPr>
        <w:jc w:val="both"/>
        <w:rPr>
          <w:rFonts w:ascii="Times New Roman" w:hAnsi="Times New Roman" w:cs="Times New Roman"/>
          <w:b/>
          <w:bCs/>
          <w:sz w:val="24"/>
          <w:szCs w:val="24"/>
          <w:lang w:val="en-GB"/>
        </w:rPr>
      </w:pPr>
      <w:r w:rsidRPr="00424DB2">
        <w:rPr>
          <w:rFonts w:ascii="Times New Roman" w:hAnsi="Times New Roman" w:cs="Times New Roman"/>
          <w:b/>
          <w:bCs/>
          <w:sz w:val="24"/>
          <w:szCs w:val="24"/>
          <w:lang w:val="en-GB"/>
        </w:rPr>
        <w:t>Our mission</w:t>
      </w:r>
    </w:p>
    <w:p w:rsidR="000E599C" w:rsidRPr="00424DB2" w:rsidRDefault="001C7B2D">
      <w:p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 xml:space="preserve">Our mission is to support and enhance the effectiveness of the UN </w:t>
      </w:r>
      <w:r w:rsidR="00724973">
        <w:rPr>
          <w:rFonts w:ascii="Times New Roman" w:hAnsi="Times New Roman" w:cs="Times New Roman"/>
          <w:sz w:val="24"/>
          <w:szCs w:val="24"/>
          <w:lang w:val="en-GB"/>
        </w:rPr>
        <w:t>t</w:t>
      </w:r>
      <w:r w:rsidRPr="00424DB2">
        <w:rPr>
          <w:rFonts w:ascii="Times New Roman" w:hAnsi="Times New Roman" w:cs="Times New Roman"/>
          <w:sz w:val="24"/>
          <w:szCs w:val="24"/>
          <w:lang w:val="en-GB"/>
        </w:rPr>
        <w:t xml:space="preserve">reaty </w:t>
      </w:r>
      <w:r w:rsidR="00724973">
        <w:rPr>
          <w:rFonts w:ascii="Times New Roman" w:hAnsi="Times New Roman" w:cs="Times New Roman"/>
          <w:sz w:val="24"/>
          <w:szCs w:val="24"/>
          <w:lang w:val="en-GB"/>
        </w:rPr>
        <w:t>b</w:t>
      </w:r>
      <w:r w:rsidRPr="00424DB2">
        <w:rPr>
          <w:rFonts w:ascii="Times New Roman" w:hAnsi="Times New Roman" w:cs="Times New Roman"/>
          <w:sz w:val="24"/>
          <w:szCs w:val="24"/>
          <w:lang w:val="en-GB"/>
        </w:rPr>
        <w:t xml:space="preserve">odies so that they can better contribute to the realisation of the human rights of all persons. </w:t>
      </w:r>
    </w:p>
    <w:p w:rsidR="000E599C" w:rsidRPr="00424DB2" w:rsidRDefault="001C7B2D">
      <w:pPr>
        <w:jc w:val="both"/>
        <w:rPr>
          <w:rFonts w:ascii="Times New Roman" w:hAnsi="Times New Roman" w:cs="Times New Roman"/>
          <w:b/>
          <w:bCs/>
          <w:sz w:val="24"/>
          <w:szCs w:val="24"/>
          <w:lang w:val="en-GB"/>
        </w:rPr>
      </w:pPr>
      <w:r w:rsidRPr="00424DB2">
        <w:rPr>
          <w:rFonts w:ascii="Times New Roman" w:hAnsi="Times New Roman" w:cs="Times New Roman"/>
          <w:b/>
          <w:bCs/>
          <w:sz w:val="24"/>
          <w:szCs w:val="24"/>
          <w:lang w:val="en-GB"/>
        </w:rPr>
        <w:t>Our vision</w:t>
      </w:r>
    </w:p>
    <w:p w:rsidR="000E599C" w:rsidRPr="00424DB2" w:rsidRDefault="001C7B2D">
      <w:p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 xml:space="preserve">We believe that </w:t>
      </w:r>
      <w:r w:rsidR="00724973">
        <w:rPr>
          <w:rFonts w:ascii="Times New Roman" w:hAnsi="Times New Roman" w:cs="Times New Roman"/>
          <w:sz w:val="24"/>
          <w:szCs w:val="24"/>
          <w:lang w:val="en-GB"/>
        </w:rPr>
        <w:t>t</w:t>
      </w:r>
      <w:r w:rsidRPr="00424DB2">
        <w:rPr>
          <w:rFonts w:ascii="Times New Roman" w:hAnsi="Times New Roman" w:cs="Times New Roman"/>
          <w:sz w:val="24"/>
          <w:szCs w:val="24"/>
          <w:lang w:val="en-GB"/>
        </w:rPr>
        <w:t xml:space="preserve">reaty </w:t>
      </w:r>
      <w:r w:rsidR="00724973">
        <w:rPr>
          <w:rFonts w:ascii="Times New Roman" w:hAnsi="Times New Roman" w:cs="Times New Roman"/>
          <w:sz w:val="24"/>
          <w:szCs w:val="24"/>
          <w:lang w:val="en-GB"/>
        </w:rPr>
        <w:t>b</w:t>
      </w:r>
      <w:r w:rsidRPr="00424DB2">
        <w:rPr>
          <w:rFonts w:ascii="Times New Roman" w:hAnsi="Times New Roman" w:cs="Times New Roman"/>
          <w:sz w:val="24"/>
          <w:szCs w:val="24"/>
          <w:lang w:val="en-GB"/>
        </w:rPr>
        <w:t>odies to be effective need to:</w:t>
      </w:r>
    </w:p>
    <w:p w:rsidR="000E599C" w:rsidRPr="00424DB2" w:rsidRDefault="001C7B2D">
      <w:pPr>
        <w:pStyle w:val="ListParagraph1"/>
        <w:numPr>
          <w:ilvl w:val="0"/>
          <w:numId w:val="1"/>
        </w:numPr>
        <w:spacing w:after="0" w:line="240" w:lineRule="auto"/>
        <w:jc w:val="both"/>
        <w:rPr>
          <w:rFonts w:ascii="Times New Roman" w:hAnsi="Times New Roman" w:cs="Times New Roman"/>
          <w:sz w:val="24"/>
          <w:szCs w:val="24"/>
        </w:rPr>
      </w:pPr>
      <w:r w:rsidRPr="00424DB2">
        <w:rPr>
          <w:rFonts w:ascii="Times New Roman" w:hAnsi="Times New Roman" w:cs="Times New Roman"/>
          <w:sz w:val="24"/>
          <w:szCs w:val="24"/>
        </w:rPr>
        <w:t>Have quality, independent and diverse membership;</w:t>
      </w:r>
    </w:p>
    <w:p w:rsidR="000E599C" w:rsidRPr="00424DB2" w:rsidRDefault="001C7B2D">
      <w:pPr>
        <w:pStyle w:val="ListParagraph1"/>
        <w:numPr>
          <w:ilvl w:val="0"/>
          <w:numId w:val="1"/>
        </w:numPr>
        <w:spacing w:after="0" w:line="240" w:lineRule="auto"/>
        <w:jc w:val="both"/>
        <w:rPr>
          <w:rFonts w:ascii="Times New Roman" w:hAnsi="Times New Roman" w:cs="Times New Roman"/>
          <w:sz w:val="24"/>
          <w:szCs w:val="24"/>
        </w:rPr>
      </w:pPr>
      <w:r w:rsidRPr="00424DB2">
        <w:rPr>
          <w:rFonts w:ascii="Times New Roman" w:hAnsi="Times New Roman" w:cs="Times New Roman"/>
          <w:sz w:val="24"/>
          <w:szCs w:val="24"/>
        </w:rPr>
        <w:t xml:space="preserve">Develop clear, coherent and context-relevant recommendations; </w:t>
      </w:r>
    </w:p>
    <w:p w:rsidR="000E599C" w:rsidRPr="00424DB2" w:rsidRDefault="001C7B2D">
      <w:pPr>
        <w:pStyle w:val="ListParagraph1"/>
        <w:numPr>
          <w:ilvl w:val="0"/>
          <w:numId w:val="1"/>
        </w:numPr>
        <w:spacing w:after="0" w:line="240" w:lineRule="auto"/>
        <w:jc w:val="both"/>
        <w:rPr>
          <w:rFonts w:ascii="Times New Roman" w:hAnsi="Times New Roman" w:cs="Times New Roman"/>
          <w:sz w:val="24"/>
          <w:szCs w:val="24"/>
        </w:rPr>
      </w:pPr>
      <w:r w:rsidRPr="00424DB2">
        <w:rPr>
          <w:rFonts w:ascii="Times New Roman" w:hAnsi="Times New Roman" w:cs="Times New Roman"/>
          <w:sz w:val="24"/>
          <w:szCs w:val="24"/>
        </w:rPr>
        <w:t>Have transparent, accessible, inclusive and rights-holder-oriented processes and procedures;</w:t>
      </w:r>
    </w:p>
    <w:p w:rsidR="000E599C" w:rsidRPr="00424DB2" w:rsidRDefault="001C7B2D">
      <w:pPr>
        <w:pStyle w:val="ListParagraph1"/>
        <w:numPr>
          <w:ilvl w:val="0"/>
          <w:numId w:val="1"/>
        </w:numPr>
        <w:spacing w:after="0" w:line="240" w:lineRule="auto"/>
        <w:jc w:val="both"/>
        <w:rPr>
          <w:rFonts w:ascii="Times New Roman" w:hAnsi="Times New Roman" w:cs="Times New Roman"/>
          <w:sz w:val="24"/>
          <w:szCs w:val="24"/>
        </w:rPr>
      </w:pPr>
      <w:r w:rsidRPr="00424DB2">
        <w:rPr>
          <w:rFonts w:ascii="Times New Roman" w:hAnsi="Times New Roman" w:cs="Times New Roman"/>
          <w:sz w:val="24"/>
          <w:szCs w:val="24"/>
        </w:rPr>
        <w:t>Create spaces for meaningful and safe engagement of civil society and human rights defenders and consider their views;</w:t>
      </w:r>
    </w:p>
    <w:p w:rsidR="000E599C" w:rsidRPr="00424DB2" w:rsidRDefault="001C7B2D">
      <w:pPr>
        <w:pStyle w:val="ListParagraph1"/>
        <w:numPr>
          <w:ilvl w:val="0"/>
          <w:numId w:val="1"/>
        </w:numPr>
        <w:spacing w:after="0" w:line="240" w:lineRule="auto"/>
        <w:jc w:val="both"/>
        <w:rPr>
          <w:rFonts w:ascii="Times New Roman" w:hAnsi="Times New Roman" w:cs="Times New Roman"/>
          <w:sz w:val="24"/>
          <w:szCs w:val="24"/>
        </w:rPr>
      </w:pPr>
      <w:r w:rsidRPr="00424DB2">
        <w:rPr>
          <w:rFonts w:ascii="Times New Roman" w:hAnsi="Times New Roman" w:cs="Times New Roman"/>
          <w:sz w:val="24"/>
          <w:szCs w:val="24"/>
        </w:rPr>
        <w:t>Be visible and vocal within the broader UN human rights system and at the country level.</w:t>
      </w:r>
    </w:p>
    <w:p w:rsidR="000E599C" w:rsidRPr="00424DB2" w:rsidRDefault="000E599C">
      <w:pPr>
        <w:spacing w:after="0" w:line="240" w:lineRule="auto"/>
        <w:jc w:val="both"/>
        <w:rPr>
          <w:rFonts w:ascii="Times New Roman" w:hAnsi="Times New Roman" w:cs="Times New Roman"/>
          <w:sz w:val="24"/>
          <w:szCs w:val="24"/>
          <w:lang w:val="en-GB"/>
        </w:rPr>
      </w:pPr>
    </w:p>
    <w:p w:rsidR="000E599C" w:rsidRPr="00424DB2" w:rsidRDefault="001C7B2D">
      <w:pPr>
        <w:jc w:val="both"/>
        <w:rPr>
          <w:rFonts w:ascii="Times New Roman" w:hAnsi="Times New Roman" w:cs="Times New Roman"/>
          <w:sz w:val="24"/>
          <w:szCs w:val="24"/>
          <w:lang w:val="en-US"/>
        </w:rPr>
      </w:pPr>
      <w:r w:rsidRPr="00424DB2">
        <w:rPr>
          <w:rFonts w:ascii="Times New Roman" w:hAnsi="Times New Roman" w:cs="Times New Roman"/>
          <w:sz w:val="24"/>
          <w:szCs w:val="24"/>
          <w:lang w:val="en-US"/>
        </w:rPr>
        <w:t xml:space="preserve">We believe there is a need to move towards thinking of the </w:t>
      </w:r>
      <w:r w:rsidR="00724973">
        <w:rPr>
          <w:rFonts w:ascii="Times New Roman" w:hAnsi="Times New Roman" w:cs="Times New Roman"/>
          <w:sz w:val="24"/>
          <w:szCs w:val="24"/>
          <w:lang w:val="en-US"/>
        </w:rPr>
        <w:t>t</w:t>
      </w:r>
      <w:r w:rsidRPr="00424DB2">
        <w:rPr>
          <w:rFonts w:ascii="Times New Roman" w:hAnsi="Times New Roman" w:cs="Times New Roman"/>
          <w:sz w:val="24"/>
          <w:szCs w:val="24"/>
          <w:lang w:val="en-US"/>
        </w:rPr>
        <w:t xml:space="preserve">reaty </w:t>
      </w:r>
      <w:r w:rsidR="00724973">
        <w:rPr>
          <w:rFonts w:ascii="Times New Roman" w:hAnsi="Times New Roman" w:cs="Times New Roman"/>
          <w:sz w:val="24"/>
          <w:szCs w:val="24"/>
          <w:lang w:val="en-US"/>
        </w:rPr>
        <w:t>b</w:t>
      </w:r>
      <w:r w:rsidRPr="00424DB2">
        <w:rPr>
          <w:rFonts w:ascii="Times New Roman" w:hAnsi="Times New Roman" w:cs="Times New Roman"/>
          <w:sz w:val="24"/>
          <w:szCs w:val="24"/>
          <w:lang w:val="en-US"/>
        </w:rPr>
        <w:t xml:space="preserve">odies as a system, rather than individual silos and this includes the way NGOs work with the system. Working together as a group, we have a holistic and in depth view of the </w:t>
      </w:r>
      <w:r w:rsidR="00724973">
        <w:rPr>
          <w:rFonts w:ascii="Times New Roman" w:hAnsi="Times New Roman" w:cs="Times New Roman"/>
          <w:sz w:val="24"/>
          <w:szCs w:val="24"/>
          <w:lang w:val="en-US"/>
        </w:rPr>
        <w:t>t</w:t>
      </w:r>
      <w:r w:rsidRPr="00424DB2">
        <w:rPr>
          <w:rFonts w:ascii="Times New Roman" w:hAnsi="Times New Roman" w:cs="Times New Roman"/>
          <w:sz w:val="24"/>
          <w:szCs w:val="24"/>
          <w:lang w:val="en-US"/>
        </w:rPr>
        <w:t xml:space="preserve">reaty </w:t>
      </w:r>
      <w:r w:rsidR="00724973">
        <w:rPr>
          <w:rFonts w:ascii="Times New Roman" w:hAnsi="Times New Roman" w:cs="Times New Roman"/>
          <w:sz w:val="24"/>
          <w:szCs w:val="24"/>
          <w:lang w:val="en-US"/>
        </w:rPr>
        <w:t>b</w:t>
      </w:r>
      <w:r w:rsidRPr="00424DB2">
        <w:rPr>
          <w:rFonts w:ascii="Times New Roman" w:hAnsi="Times New Roman" w:cs="Times New Roman"/>
          <w:sz w:val="24"/>
          <w:szCs w:val="24"/>
          <w:lang w:val="en-US"/>
        </w:rPr>
        <w:t xml:space="preserve">ody system, enabling us to identify trends, good practices and comprehensive approaches, common challenges and avenues for shared learning and collaboration across </w:t>
      </w:r>
      <w:r w:rsidR="00724973">
        <w:rPr>
          <w:rFonts w:ascii="Times New Roman" w:hAnsi="Times New Roman" w:cs="Times New Roman"/>
          <w:sz w:val="24"/>
          <w:szCs w:val="24"/>
          <w:lang w:val="en-US"/>
        </w:rPr>
        <w:t>t</w:t>
      </w:r>
      <w:r w:rsidRPr="00424DB2">
        <w:rPr>
          <w:rFonts w:ascii="Times New Roman" w:hAnsi="Times New Roman" w:cs="Times New Roman"/>
          <w:sz w:val="24"/>
          <w:szCs w:val="24"/>
          <w:lang w:val="en-US"/>
        </w:rPr>
        <w:t xml:space="preserve">reaty </w:t>
      </w:r>
      <w:r w:rsidR="00724973">
        <w:rPr>
          <w:rFonts w:ascii="Times New Roman" w:hAnsi="Times New Roman" w:cs="Times New Roman"/>
          <w:sz w:val="24"/>
          <w:szCs w:val="24"/>
          <w:lang w:val="en-US"/>
        </w:rPr>
        <w:t>b</w:t>
      </w:r>
      <w:r w:rsidRPr="00424DB2">
        <w:rPr>
          <w:rFonts w:ascii="Times New Roman" w:hAnsi="Times New Roman" w:cs="Times New Roman"/>
          <w:sz w:val="24"/>
          <w:szCs w:val="24"/>
          <w:lang w:val="en-US"/>
        </w:rPr>
        <w:t>odies. Further, together we can improve, outreach to, and accessibility for, rights</w:t>
      </w:r>
      <w:r w:rsidR="006F489E">
        <w:rPr>
          <w:rFonts w:ascii="Times New Roman" w:hAnsi="Times New Roman" w:cs="Times New Roman"/>
          <w:sz w:val="24"/>
          <w:szCs w:val="24"/>
          <w:lang w:val="en-US"/>
        </w:rPr>
        <w:t>-</w:t>
      </w:r>
      <w:r w:rsidRPr="00424DB2">
        <w:rPr>
          <w:rFonts w:ascii="Times New Roman" w:hAnsi="Times New Roman" w:cs="Times New Roman"/>
          <w:sz w:val="24"/>
          <w:szCs w:val="24"/>
          <w:lang w:val="en-US"/>
        </w:rPr>
        <w:t>holders and civil society at the national level, across the system.</w:t>
      </w:r>
    </w:p>
    <w:p w:rsidR="000E599C" w:rsidRDefault="001C7B2D">
      <w:p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 xml:space="preserve">In support of our vision and mission, we as TB-Net are pursuing </w:t>
      </w:r>
      <w:r w:rsidRPr="006F489E">
        <w:rPr>
          <w:rFonts w:ascii="Times New Roman" w:hAnsi="Times New Roman" w:cs="Times New Roman"/>
          <w:sz w:val="24"/>
          <w:szCs w:val="24"/>
          <w:lang w:val="en-GB"/>
        </w:rPr>
        <w:t>two</w:t>
      </w:r>
      <w:r w:rsidRPr="00424DB2">
        <w:rPr>
          <w:rFonts w:ascii="Times New Roman" w:hAnsi="Times New Roman" w:cs="Times New Roman"/>
          <w:sz w:val="24"/>
          <w:szCs w:val="24"/>
          <w:lang w:val="en-GB"/>
        </w:rPr>
        <w:t xml:space="preserve"> main projects including co-leading and facilitating two key meetings: one on the follow-up procedures and one on treaty body membership. In addition, TB-Net has been monitoring the provision of Webcasting of </w:t>
      </w:r>
      <w:r w:rsidR="00724973">
        <w:rPr>
          <w:rFonts w:ascii="Times New Roman" w:hAnsi="Times New Roman" w:cs="Times New Roman"/>
          <w:sz w:val="24"/>
          <w:szCs w:val="24"/>
          <w:lang w:val="en-GB"/>
        </w:rPr>
        <w:t>t</w:t>
      </w:r>
      <w:r w:rsidRPr="00424DB2">
        <w:rPr>
          <w:rFonts w:ascii="Times New Roman" w:hAnsi="Times New Roman" w:cs="Times New Roman"/>
          <w:sz w:val="24"/>
          <w:szCs w:val="24"/>
          <w:lang w:val="en-GB"/>
        </w:rPr>
        <w:t xml:space="preserve">reaty </w:t>
      </w:r>
      <w:r w:rsidR="00724973">
        <w:rPr>
          <w:rFonts w:ascii="Times New Roman" w:hAnsi="Times New Roman" w:cs="Times New Roman"/>
          <w:sz w:val="24"/>
          <w:szCs w:val="24"/>
          <w:lang w:val="en-GB"/>
        </w:rPr>
        <w:t>body</w:t>
      </w:r>
      <w:r w:rsidRPr="00424DB2">
        <w:rPr>
          <w:rFonts w:ascii="Times New Roman" w:hAnsi="Times New Roman" w:cs="Times New Roman"/>
          <w:sz w:val="24"/>
          <w:szCs w:val="24"/>
          <w:lang w:val="en-GB"/>
        </w:rPr>
        <w:t xml:space="preserve"> public meetings, and </w:t>
      </w:r>
      <w:r w:rsidR="008C0E92">
        <w:rPr>
          <w:rFonts w:ascii="Times New Roman" w:hAnsi="Times New Roman" w:cs="Times New Roman"/>
          <w:sz w:val="24"/>
          <w:szCs w:val="24"/>
          <w:lang w:val="en-GB"/>
        </w:rPr>
        <w:t>we are</w:t>
      </w:r>
      <w:r w:rsidRPr="00424DB2">
        <w:rPr>
          <w:rFonts w:ascii="Times New Roman" w:hAnsi="Times New Roman" w:cs="Times New Roman"/>
          <w:sz w:val="24"/>
          <w:szCs w:val="24"/>
          <w:lang w:val="en-GB"/>
        </w:rPr>
        <w:t xml:space="preserve"> concerned by the lack of information on funding for its continuation and by shortcomings in its current provision.</w:t>
      </w:r>
    </w:p>
    <w:p w:rsidR="00A36E12" w:rsidRPr="00424DB2" w:rsidRDefault="00A36E12">
      <w:pPr>
        <w:jc w:val="both"/>
        <w:rPr>
          <w:rFonts w:ascii="Times New Roman" w:hAnsi="Times New Roman" w:cs="Times New Roman"/>
          <w:sz w:val="24"/>
          <w:szCs w:val="24"/>
          <w:lang w:val="en-GB"/>
        </w:rPr>
      </w:pPr>
    </w:p>
    <w:p w:rsidR="000E599C" w:rsidRPr="00424DB2" w:rsidRDefault="001C7B2D">
      <w:pPr>
        <w:jc w:val="both"/>
        <w:rPr>
          <w:rFonts w:ascii="Times New Roman" w:eastAsiaTheme="majorEastAsia" w:hAnsi="Times New Roman" w:cs="Times New Roman"/>
          <w:b/>
          <w:bCs/>
          <w:sz w:val="24"/>
          <w:szCs w:val="24"/>
          <w:u w:val="single"/>
          <w:lang w:val="en-GB"/>
        </w:rPr>
      </w:pPr>
      <w:r w:rsidRPr="00424DB2">
        <w:rPr>
          <w:rFonts w:ascii="Times New Roman" w:hAnsi="Times New Roman" w:cs="Times New Roman"/>
          <w:b/>
          <w:bCs/>
          <w:sz w:val="24"/>
          <w:szCs w:val="24"/>
          <w:lang w:val="en-GB"/>
        </w:rPr>
        <w:lastRenderedPageBreak/>
        <w:t>1.</w:t>
      </w:r>
      <w:r w:rsidRPr="00424DB2">
        <w:rPr>
          <w:rFonts w:ascii="Times New Roman" w:hAnsi="Times New Roman" w:cs="Times New Roman"/>
          <w:b/>
          <w:sz w:val="24"/>
          <w:szCs w:val="24"/>
          <w:lang w:val="en-GB"/>
        </w:rPr>
        <w:tab/>
      </w:r>
      <w:r w:rsidRPr="00424DB2">
        <w:rPr>
          <w:rFonts w:ascii="Times New Roman" w:hAnsi="Times New Roman" w:cs="Times New Roman"/>
          <w:b/>
          <w:bCs/>
          <w:sz w:val="24"/>
          <w:szCs w:val="24"/>
          <w:lang w:val="en-GB"/>
        </w:rPr>
        <w:t>Follow-up procedures</w:t>
      </w:r>
    </w:p>
    <w:p w:rsidR="000E599C" w:rsidRPr="00424DB2" w:rsidRDefault="001C7B2D">
      <w:pPr>
        <w:jc w:val="both"/>
        <w:rPr>
          <w:rFonts w:ascii="Times New Roman" w:eastAsiaTheme="majorEastAsia" w:hAnsi="Times New Roman" w:cs="Times New Roman"/>
          <w:b/>
          <w:bCs/>
          <w:sz w:val="24"/>
          <w:szCs w:val="24"/>
          <w:u w:val="single"/>
          <w:lang w:val="en-GB"/>
        </w:rPr>
      </w:pPr>
      <w:r w:rsidRPr="00424DB2">
        <w:rPr>
          <w:rFonts w:ascii="Times New Roman" w:hAnsi="Times New Roman" w:cs="Times New Roman"/>
          <w:sz w:val="24"/>
          <w:szCs w:val="24"/>
          <w:lang w:val="en-GB"/>
        </w:rPr>
        <w:t xml:space="preserve">Together with the OHCHR, the Geneva Academy, the Open Society Justice Initiative and Judgment Watch, TB-Net organised a meeting in October 2017 attended by members of all treaty bodies, </w:t>
      </w:r>
      <w:r w:rsidR="00906875">
        <w:rPr>
          <w:rFonts w:ascii="Times New Roman" w:hAnsi="Times New Roman" w:cs="Times New Roman"/>
          <w:sz w:val="24"/>
          <w:szCs w:val="24"/>
          <w:lang w:val="en-GB"/>
        </w:rPr>
        <w:t xml:space="preserve">and </w:t>
      </w:r>
      <w:r w:rsidRPr="00424DB2">
        <w:rPr>
          <w:rFonts w:ascii="Times New Roman" w:hAnsi="Times New Roman" w:cs="Times New Roman"/>
          <w:sz w:val="24"/>
          <w:szCs w:val="24"/>
          <w:lang w:val="en-GB"/>
        </w:rPr>
        <w:t xml:space="preserve">discussed the measures treaty bodies take to monitor the States parties’ implementation of recommendations. It affirmed that the follow-up procedures in the treaty body system are crucial for the effective implementation of the recommendations as they allow treaty bodies to maintain a dialogue with States during the period between the State review and the next periodic report and to support them with the compliance of their obligations under the respective treaties. It also stressed the need for treaty bodies to streamline their procedures.  </w:t>
      </w:r>
    </w:p>
    <w:p w:rsidR="000E599C" w:rsidRPr="00424DB2" w:rsidRDefault="001C7B2D">
      <w:pPr>
        <w:ind w:firstLine="120"/>
        <w:jc w:val="both"/>
        <w:rPr>
          <w:rFonts w:ascii="Times New Roman" w:hAnsi="Times New Roman" w:cs="Times New Roman"/>
          <w:b/>
          <w:bCs/>
          <w:sz w:val="24"/>
          <w:szCs w:val="24"/>
          <w:lang w:val="en-GB"/>
        </w:rPr>
      </w:pPr>
      <w:r w:rsidRPr="00424DB2">
        <w:rPr>
          <w:rFonts w:ascii="Times New Roman" w:hAnsi="Times New Roman" w:cs="Times New Roman"/>
          <w:b/>
          <w:bCs/>
          <w:sz w:val="24"/>
          <w:szCs w:val="24"/>
          <w:lang w:val="en-GB"/>
        </w:rPr>
        <w:t>Recommendations</w:t>
      </w:r>
    </w:p>
    <w:p w:rsidR="000E599C" w:rsidRPr="00424DB2" w:rsidRDefault="001C7B2D">
      <w:pPr>
        <w:pStyle w:val="Paragraphedeliste"/>
        <w:numPr>
          <w:ilvl w:val="0"/>
          <w:numId w:val="2"/>
        </w:num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 xml:space="preserve">The </w:t>
      </w:r>
      <w:r w:rsidR="001A5118">
        <w:rPr>
          <w:rFonts w:ascii="Times New Roman" w:hAnsi="Times New Roman" w:cs="Times New Roman"/>
          <w:sz w:val="24"/>
          <w:szCs w:val="24"/>
          <w:lang w:val="en-GB"/>
        </w:rPr>
        <w:t>f</w:t>
      </w:r>
      <w:r w:rsidRPr="00424DB2">
        <w:rPr>
          <w:rFonts w:ascii="Times New Roman" w:hAnsi="Times New Roman" w:cs="Times New Roman"/>
          <w:sz w:val="24"/>
          <w:szCs w:val="24"/>
          <w:lang w:val="en-GB"/>
        </w:rPr>
        <w:t xml:space="preserve">ollow-up procedure should be adopted by all the </w:t>
      </w:r>
      <w:r w:rsidR="001A5118">
        <w:rPr>
          <w:rFonts w:ascii="Times New Roman" w:hAnsi="Times New Roman" w:cs="Times New Roman"/>
          <w:sz w:val="24"/>
          <w:szCs w:val="24"/>
          <w:lang w:val="en-GB"/>
        </w:rPr>
        <w:t>t</w:t>
      </w:r>
      <w:r w:rsidRPr="00424DB2">
        <w:rPr>
          <w:rFonts w:ascii="Times New Roman" w:hAnsi="Times New Roman" w:cs="Times New Roman"/>
          <w:sz w:val="24"/>
          <w:szCs w:val="24"/>
          <w:lang w:val="en-GB"/>
        </w:rPr>
        <w:t xml:space="preserve">reaty </w:t>
      </w:r>
      <w:r w:rsidR="001A5118">
        <w:rPr>
          <w:rFonts w:ascii="Times New Roman" w:hAnsi="Times New Roman" w:cs="Times New Roman"/>
          <w:sz w:val="24"/>
          <w:szCs w:val="24"/>
          <w:lang w:val="en-GB"/>
        </w:rPr>
        <w:t>b</w:t>
      </w:r>
      <w:r w:rsidRPr="00424DB2">
        <w:rPr>
          <w:rFonts w:ascii="Times New Roman" w:hAnsi="Times New Roman" w:cs="Times New Roman"/>
          <w:sz w:val="24"/>
          <w:szCs w:val="24"/>
          <w:lang w:val="en-GB"/>
        </w:rPr>
        <w:t xml:space="preserve">odies as a crucial element of the reporting cycle; </w:t>
      </w:r>
    </w:p>
    <w:p w:rsidR="000E599C" w:rsidRPr="00424DB2" w:rsidRDefault="000E599C">
      <w:pPr>
        <w:pStyle w:val="Paragraphedeliste"/>
        <w:jc w:val="both"/>
        <w:rPr>
          <w:rFonts w:ascii="Times New Roman" w:hAnsi="Times New Roman" w:cs="Times New Roman"/>
          <w:sz w:val="24"/>
          <w:szCs w:val="24"/>
          <w:lang w:val="en-GB"/>
        </w:rPr>
      </w:pPr>
    </w:p>
    <w:p w:rsidR="000E599C" w:rsidRPr="00424DB2" w:rsidRDefault="00A36E12">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1C7B2D" w:rsidRPr="00424DB2">
        <w:rPr>
          <w:rFonts w:ascii="Times New Roman" w:hAnsi="Times New Roman" w:cs="Times New Roman"/>
          <w:sz w:val="24"/>
          <w:szCs w:val="24"/>
          <w:lang w:val="en-GB"/>
        </w:rPr>
        <w:t xml:space="preserve">reaty </w:t>
      </w:r>
      <w:r w:rsidR="001A5118">
        <w:rPr>
          <w:rFonts w:ascii="Times New Roman" w:hAnsi="Times New Roman" w:cs="Times New Roman"/>
          <w:sz w:val="24"/>
          <w:szCs w:val="24"/>
          <w:lang w:val="en-GB"/>
        </w:rPr>
        <w:t>b</w:t>
      </w:r>
      <w:r w:rsidR="001C7B2D" w:rsidRPr="00424DB2">
        <w:rPr>
          <w:rFonts w:ascii="Times New Roman" w:hAnsi="Times New Roman" w:cs="Times New Roman"/>
          <w:sz w:val="24"/>
          <w:szCs w:val="24"/>
          <w:lang w:val="en-GB"/>
        </w:rPr>
        <w:t xml:space="preserve">odies should in their </w:t>
      </w:r>
      <w:r w:rsidR="001A5118">
        <w:rPr>
          <w:rFonts w:ascii="Times New Roman" w:hAnsi="Times New Roman" w:cs="Times New Roman"/>
          <w:sz w:val="24"/>
          <w:szCs w:val="24"/>
          <w:lang w:val="en-GB"/>
        </w:rPr>
        <w:t>c</w:t>
      </w:r>
      <w:r w:rsidR="001C7B2D" w:rsidRPr="00424DB2">
        <w:rPr>
          <w:rFonts w:ascii="Times New Roman" w:hAnsi="Times New Roman" w:cs="Times New Roman"/>
          <w:sz w:val="24"/>
          <w:szCs w:val="24"/>
          <w:lang w:val="en-GB"/>
        </w:rPr>
        <w:t xml:space="preserve">oncluding </w:t>
      </w:r>
      <w:r w:rsidR="001A5118">
        <w:rPr>
          <w:rFonts w:ascii="Times New Roman" w:hAnsi="Times New Roman" w:cs="Times New Roman"/>
          <w:sz w:val="24"/>
          <w:szCs w:val="24"/>
          <w:lang w:val="en-GB"/>
        </w:rPr>
        <w:t>o</w:t>
      </w:r>
      <w:r w:rsidR="001C7B2D" w:rsidRPr="00424DB2">
        <w:rPr>
          <w:rFonts w:ascii="Times New Roman" w:hAnsi="Times New Roman" w:cs="Times New Roman"/>
          <w:sz w:val="24"/>
          <w:szCs w:val="24"/>
          <w:lang w:val="en-GB"/>
        </w:rPr>
        <w:t>bservations i</w:t>
      </w:r>
      <w:r w:rsidR="001A5118">
        <w:rPr>
          <w:rFonts w:ascii="Times New Roman" w:hAnsi="Times New Roman" w:cs="Times New Roman"/>
          <w:sz w:val="24"/>
          <w:szCs w:val="24"/>
          <w:lang w:val="en-GB"/>
        </w:rPr>
        <w:t xml:space="preserve">nvite </w:t>
      </w:r>
      <w:r w:rsidR="00E34458" w:rsidRPr="00424DB2">
        <w:rPr>
          <w:rFonts w:ascii="Times New Roman" w:hAnsi="Times New Roman" w:cs="Times New Roman"/>
          <w:sz w:val="24"/>
          <w:szCs w:val="24"/>
          <w:lang w:val="en-GB"/>
        </w:rPr>
        <w:t>S</w:t>
      </w:r>
      <w:r w:rsidR="001C7B2D" w:rsidRPr="00424DB2">
        <w:rPr>
          <w:rFonts w:ascii="Times New Roman" w:hAnsi="Times New Roman" w:cs="Times New Roman"/>
          <w:sz w:val="24"/>
          <w:szCs w:val="24"/>
          <w:lang w:val="en-GB"/>
        </w:rPr>
        <w:t>tates to inform them  about their implementation plans for all recommendations, including those identified for follow-up;</w:t>
      </w:r>
    </w:p>
    <w:p w:rsidR="000E599C" w:rsidRPr="00424DB2" w:rsidRDefault="004320DF" w:rsidP="00863299">
      <w:pPr>
        <w:pStyle w:val="Commentair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1C7B2D" w:rsidRPr="00424DB2">
        <w:rPr>
          <w:rFonts w:ascii="Times New Roman" w:hAnsi="Times New Roman" w:cs="Times New Roman"/>
          <w:sz w:val="24"/>
          <w:szCs w:val="24"/>
          <w:lang w:val="en-GB"/>
        </w:rPr>
        <w:t xml:space="preserve">reaty </w:t>
      </w:r>
      <w:r w:rsidR="001A5118">
        <w:rPr>
          <w:rFonts w:ascii="Times New Roman" w:hAnsi="Times New Roman" w:cs="Times New Roman"/>
          <w:sz w:val="24"/>
          <w:szCs w:val="24"/>
          <w:lang w:val="en-GB"/>
        </w:rPr>
        <w:t>b</w:t>
      </w:r>
      <w:r w:rsidR="001C7B2D" w:rsidRPr="00424DB2">
        <w:rPr>
          <w:rFonts w:ascii="Times New Roman" w:hAnsi="Times New Roman" w:cs="Times New Roman"/>
          <w:sz w:val="24"/>
          <w:szCs w:val="24"/>
          <w:lang w:val="en-GB"/>
        </w:rPr>
        <w:t xml:space="preserve">odies should work towards an aligned, coherent and transparent follow-up and assessment procedure, based on existing good practices, and adopt joint guidelines as recommended in the report of the </w:t>
      </w:r>
      <w:r w:rsidR="001A5118">
        <w:rPr>
          <w:rFonts w:ascii="Times New Roman" w:hAnsi="Times New Roman" w:cs="Times New Roman"/>
          <w:sz w:val="24"/>
          <w:szCs w:val="24"/>
          <w:lang w:val="en-GB"/>
        </w:rPr>
        <w:t>e</w:t>
      </w:r>
      <w:r w:rsidR="001C7B2D" w:rsidRPr="00424DB2">
        <w:rPr>
          <w:rFonts w:ascii="Times New Roman" w:hAnsi="Times New Roman" w:cs="Times New Roman"/>
          <w:sz w:val="24"/>
          <w:szCs w:val="24"/>
          <w:lang w:val="en-GB"/>
        </w:rPr>
        <w:t>xpert meeting on follow-up to treaty body recom</w:t>
      </w:r>
      <w:r w:rsidR="00863299">
        <w:rPr>
          <w:rFonts w:ascii="Times New Roman" w:hAnsi="Times New Roman" w:cs="Times New Roman"/>
          <w:sz w:val="24"/>
          <w:szCs w:val="24"/>
          <w:lang w:val="en-GB"/>
        </w:rPr>
        <w:t xml:space="preserve">mendations </w:t>
      </w:r>
      <w:r w:rsidR="00863299" w:rsidRPr="00863299">
        <w:rPr>
          <w:rFonts w:ascii="Times New Roman" w:hAnsi="Times New Roman" w:cs="Times New Roman"/>
          <w:sz w:val="24"/>
          <w:szCs w:val="24"/>
          <w:lang w:val="en-GB"/>
        </w:rPr>
        <w:t>(HRI/MC/2018/CPR.2)</w:t>
      </w:r>
      <w:r w:rsidR="00D37134">
        <w:rPr>
          <w:rFonts w:ascii="Times New Roman" w:hAnsi="Times New Roman" w:cs="Times New Roman"/>
          <w:sz w:val="24"/>
          <w:szCs w:val="24"/>
          <w:lang w:val="en-GB"/>
        </w:rPr>
        <w:t>.</w:t>
      </w:r>
    </w:p>
    <w:p w:rsidR="000E599C" w:rsidRPr="00424DB2" w:rsidRDefault="000E599C">
      <w:pPr>
        <w:jc w:val="both"/>
        <w:rPr>
          <w:rFonts w:ascii="Times New Roman" w:hAnsi="Times New Roman" w:cs="Times New Roman"/>
          <w:b/>
          <w:sz w:val="24"/>
          <w:szCs w:val="24"/>
          <w:lang w:val="en-GB"/>
        </w:rPr>
      </w:pPr>
    </w:p>
    <w:p w:rsidR="000E599C" w:rsidRPr="00424DB2" w:rsidRDefault="001C7B2D">
      <w:pPr>
        <w:jc w:val="both"/>
        <w:rPr>
          <w:rFonts w:ascii="Times New Roman" w:hAnsi="Times New Roman" w:cs="Times New Roman"/>
          <w:b/>
          <w:bCs/>
          <w:sz w:val="24"/>
          <w:szCs w:val="24"/>
          <w:lang w:val="en-GB"/>
        </w:rPr>
      </w:pPr>
      <w:r w:rsidRPr="00424DB2">
        <w:rPr>
          <w:rFonts w:ascii="Times New Roman" w:hAnsi="Times New Roman" w:cs="Times New Roman"/>
          <w:b/>
          <w:bCs/>
          <w:sz w:val="24"/>
          <w:szCs w:val="24"/>
          <w:lang w:val="en-GB"/>
        </w:rPr>
        <w:t>2.</w:t>
      </w:r>
      <w:r w:rsidRPr="00424DB2">
        <w:rPr>
          <w:rFonts w:ascii="Times New Roman" w:hAnsi="Times New Roman" w:cs="Times New Roman"/>
          <w:b/>
          <w:sz w:val="24"/>
          <w:szCs w:val="24"/>
          <w:lang w:val="en-GB"/>
        </w:rPr>
        <w:tab/>
      </w:r>
      <w:r w:rsidRPr="00424DB2">
        <w:rPr>
          <w:rFonts w:ascii="Times New Roman" w:hAnsi="Times New Roman" w:cs="Times New Roman"/>
          <w:b/>
          <w:bCs/>
          <w:sz w:val="24"/>
          <w:szCs w:val="24"/>
          <w:lang w:val="en-GB"/>
        </w:rPr>
        <w:t xml:space="preserve">Quality, Independent and Diverse Treaty Body Membership    </w:t>
      </w:r>
    </w:p>
    <w:p w:rsidR="000E599C" w:rsidRPr="00424DB2" w:rsidRDefault="001C7B2D">
      <w:p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In order to ensure quality, independent and diverse treaty bodies, TB-Net focuses on the promotion of transparent and participatory nominations and elections processes. Last November, we organised an event on promoting quality, independence and diversity in treaty body membership</w:t>
      </w:r>
      <w:r w:rsidRPr="00424DB2">
        <w:rPr>
          <w:rStyle w:val="Marquenotebasdepage"/>
          <w:rFonts w:ascii="Times New Roman" w:hAnsi="Times New Roman" w:cs="Times New Roman"/>
          <w:sz w:val="24"/>
          <w:szCs w:val="24"/>
          <w:lang w:val="en-GB"/>
        </w:rPr>
        <w:footnoteReference w:id="2"/>
      </w:r>
      <w:r w:rsidRPr="00424DB2">
        <w:rPr>
          <w:rFonts w:ascii="Times New Roman" w:hAnsi="Times New Roman" w:cs="Times New Roman"/>
          <w:sz w:val="24"/>
          <w:szCs w:val="24"/>
          <w:lang w:val="en-GB"/>
        </w:rPr>
        <w:t xml:space="preserve"> and we will do so again in a side event to this Chairperson’s meeting to start discussions about the role of </w:t>
      </w:r>
      <w:r w:rsidR="00127BAD">
        <w:rPr>
          <w:rFonts w:ascii="Times New Roman" w:hAnsi="Times New Roman" w:cs="Times New Roman"/>
          <w:sz w:val="24"/>
          <w:szCs w:val="24"/>
          <w:lang w:val="en-GB"/>
        </w:rPr>
        <w:t>t</w:t>
      </w:r>
      <w:r w:rsidRPr="00424DB2">
        <w:rPr>
          <w:rFonts w:ascii="Times New Roman" w:hAnsi="Times New Roman" w:cs="Times New Roman"/>
          <w:sz w:val="24"/>
          <w:szCs w:val="24"/>
          <w:lang w:val="en-GB"/>
        </w:rPr>
        <w:t xml:space="preserve">reaty </w:t>
      </w:r>
      <w:r w:rsidR="00127BAD">
        <w:rPr>
          <w:rFonts w:ascii="Times New Roman" w:hAnsi="Times New Roman" w:cs="Times New Roman"/>
          <w:sz w:val="24"/>
          <w:szCs w:val="24"/>
          <w:lang w:val="en-GB"/>
        </w:rPr>
        <w:t>b</w:t>
      </w:r>
      <w:r w:rsidRPr="00424DB2">
        <w:rPr>
          <w:rFonts w:ascii="Times New Roman" w:hAnsi="Times New Roman" w:cs="Times New Roman"/>
          <w:sz w:val="24"/>
          <w:szCs w:val="24"/>
          <w:lang w:val="en-GB"/>
        </w:rPr>
        <w:t xml:space="preserve">odies in relation to elections. We believe that multi-stakeholder cooperation between States, civil society, the OHCHR as well as the </w:t>
      </w:r>
      <w:r w:rsidR="005D7F3D">
        <w:rPr>
          <w:rFonts w:ascii="Times New Roman" w:hAnsi="Times New Roman" w:cs="Times New Roman"/>
          <w:sz w:val="24"/>
          <w:szCs w:val="24"/>
          <w:lang w:val="en-GB"/>
        </w:rPr>
        <w:t>t</w:t>
      </w:r>
      <w:r w:rsidRPr="00424DB2">
        <w:rPr>
          <w:rFonts w:ascii="Times New Roman" w:hAnsi="Times New Roman" w:cs="Times New Roman"/>
          <w:sz w:val="24"/>
          <w:szCs w:val="24"/>
          <w:lang w:val="en-GB"/>
        </w:rPr>
        <w:t xml:space="preserve">reaty </w:t>
      </w:r>
      <w:r w:rsidR="005D7F3D">
        <w:rPr>
          <w:rFonts w:ascii="Times New Roman" w:hAnsi="Times New Roman" w:cs="Times New Roman"/>
          <w:sz w:val="24"/>
          <w:szCs w:val="24"/>
          <w:lang w:val="en-GB"/>
        </w:rPr>
        <w:t>b</w:t>
      </w:r>
      <w:r w:rsidRPr="00424DB2">
        <w:rPr>
          <w:rFonts w:ascii="Times New Roman" w:hAnsi="Times New Roman" w:cs="Times New Roman"/>
          <w:sz w:val="24"/>
          <w:szCs w:val="24"/>
          <w:lang w:val="en-GB"/>
        </w:rPr>
        <w:t xml:space="preserve">odies </w:t>
      </w:r>
      <w:r w:rsidR="008C5A46">
        <w:rPr>
          <w:rFonts w:ascii="Times New Roman" w:hAnsi="Times New Roman" w:cs="Times New Roman"/>
          <w:sz w:val="24"/>
          <w:szCs w:val="24"/>
          <w:lang w:val="en-GB"/>
        </w:rPr>
        <w:t>in</w:t>
      </w:r>
      <w:r w:rsidRPr="00424DB2">
        <w:rPr>
          <w:rFonts w:ascii="Times New Roman" w:hAnsi="Times New Roman" w:cs="Times New Roman"/>
          <w:sz w:val="24"/>
          <w:szCs w:val="24"/>
          <w:lang w:val="en-GB"/>
        </w:rPr>
        <w:t xml:space="preserve"> nomination and election processes </w:t>
      </w:r>
      <w:r w:rsidR="008C5A46">
        <w:rPr>
          <w:rFonts w:ascii="Times New Roman" w:hAnsi="Times New Roman" w:cs="Times New Roman"/>
          <w:sz w:val="24"/>
          <w:szCs w:val="24"/>
          <w:lang w:val="en-GB"/>
        </w:rPr>
        <w:t xml:space="preserve">are </w:t>
      </w:r>
      <w:r w:rsidRPr="00424DB2">
        <w:rPr>
          <w:rFonts w:ascii="Times New Roman" w:hAnsi="Times New Roman" w:cs="Times New Roman"/>
          <w:sz w:val="24"/>
          <w:szCs w:val="24"/>
          <w:lang w:val="en-GB"/>
        </w:rPr>
        <w:t xml:space="preserve">the only way to ensure a pool of highly qualified independent and diverse candidates. </w:t>
      </w:r>
    </w:p>
    <w:p w:rsidR="000E599C" w:rsidRPr="00424DB2" w:rsidRDefault="001C7B2D">
      <w:pPr>
        <w:jc w:val="both"/>
        <w:rPr>
          <w:rFonts w:ascii="Times New Roman" w:hAnsi="Times New Roman" w:cs="Times New Roman"/>
          <w:b/>
          <w:bCs/>
          <w:sz w:val="24"/>
          <w:szCs w:val="24"/>
          <w:lang w:val="en-GB"/>
        </w:rPr>
      </w:pPr>
      <w:r w:rsidRPr="00424DB2">
        <w:rPr>
          <w:rFonts w:ascii="Times New Roman" w:hAnsi="Times New Roman" w:cs="Times New Roman"/>
          <w:b/>
          <w:bCs/>
          <w:sz w:val="24"/>
          <w:szCs w:val="24"/>
          <w:lang w:val="en-GB"/>
        </w:rPr>
        <w:t>Recommendations</w:t>
      </w:r>
    </w:p>
    <w:p w:rsidR="000E599C" w:rsidRPr="00424DB2" w:rsidRDefault="00094CD1">
      <w:pPr>
        <w:pStyle w:val="Paragraphedeliste"/>
        <w:numPr>
          <w:ilvl w:val="0"/>
          <w:numId w:val="3"/>
        </w:numPr>
        <w:jc w:val="both"/>
        <w:rPr>
          <w:rFonts w:ascii="Times New Roman" w:hAnsi="Times New Roman" w:cs="Times New Roman"/>
          <w:sz w:val="24"/>
          <w:szCs w:val="24"/>
          <w:lang w:val="en-GB" w:eastAsia="en-MY"/>
        </w:rPr>
      </w:pPr>
      <w:r>
        <w:rPr>
          <w:rFonts w:ascii="Times New Roman" w:hAnsi="Times New Roman" w:cs="Times New Roman"/>
          <w:sz w:val="24"/>
          <w:szCs w:val="24"/>
          <w:lang w:val="en-GB"/>
        </w:rPr>
        <w:t>T</w:t>
      </w:r>
      <w:r w:rsidR="00273636">
        <w:rPr>
          <w:rFonts w:ascii="Times New Roman" w:hAnsi="Times New Roman" w:cs="Times New Roman"/>
          <w:sz w:val="24"/>
          <w:szCs w:val="24"/>
          <w:lang w:val="en-GB"/>
        </w:rPr>
        <w:t>reaty b</w:t>
      </w:r>
      <w:r w:rsidR="001C7B2D" w:rsidRPr="00424DB2">
        <w:rPr>
          <w:rFonts w:ascii="Times New Roman" w:hAnsi="Times New Roman" w:cs="Times New Roman"/>
          <w:sz w:val="24"/>
          <w:szCs w:val="24"/>
          <w:lang w:val="en-GB"/>
        </w:rPr>
        <w:t>odies should call on</w:t>
      </w:r>
      <w:r w:rsidR="00273636">
        <w:rPr>
          <w:rFonts w:ascii="Times New Roman" w:hAnsi="Times New Roman" w:cs="Times New Roman"/>
          <w:sz w:val="24"/>
          <w:szCs w:val="24"/>
          <w:lang w:val="en-GB"/>
        </w:rPr>
        <w:t xml:space="preserve"> </w:t>
      </w:r>
      <w:r w:rsidR="001C7B2D" w:rsidRPr="00424DB2">
        <w:rPr>
          <w:rFonts w:ascii="Times New Roman" w:hAnsi="Times New Roman" w:cs="Times New Roman"/>
          <w:sz w:val="24"/>
          <w:szCs w:val="24"/>
          <w:lang w:val="en-GB"/>
        </w:rPr>
        <w:t>State</w:t>
      </w:r>
      <w:r w:rsidR="00EB4F63">
        <w:rPr>
          <w:rFonts w:ascii="Times New Roman" w:hAnsi="Times New Roman" w:cs="Times New Roman"/>
          <w:sz w:val="24"/>
          <w:szCs w:val="24"/>
          <w:lang w:val="en-GB"/>
        </w:rPr>
        <w:t>s</w:t>
      </w:r>
      <w:r w:rsidR="001C66BC">
        <w:rPr>
          <w:rFonts w:ascii="Times New Roman" w:hAnsi="Times New Roman" w:cs="Times New Roman"/>
          <w:sz w:val="24"/>
          <w:szCs w:val="24"/>
          <w:lang w:val="en-GB"/>
        </w:rPr>
        <w:t xml:space="preserve"> </w:t>
      </w:r>
      <w:r w:rsidR="001C7B2D" w:rsidRPr="00424DB2">
        <w:rPr>
          <w:rFonts w:ascii="Times New Roman" w:hAnsi="Times New Roman" w:cs="Times New Roman"/>
          <w:sz w:val="24"/>
          <w:szCs w:val="24"/>
          <w:lang w:val="en-GB"/>
        </w:rPr>
        <w:t>to organise open, participatory, transparent and structured national nomination processes to ensure public scrutiny of the candidates prior to their nomination</w:t>
      </w:r>
      <w:r w:rsidR="001C7B2D" w:rsidRPr="00424DB2">
        <w:rPr>
          <w:rFonts w:ascii="Times New Roman" w:hAnsi="Times New Roman" w:cs="Times New Roman"/>
          <w:sz w:val="24"/>
          <w:szCs w:val="24"/>
          <w:lang w:val="en-GB" w:eastAsia="en-MY"/>
        </w:rPr>
        <w:t>;</w:t>
      </w:r>
    </w:p>
    <w:p w:rsidR="000E599C" w:rsidRPr="00424DB2" w:rsidRDefault="000E599C">
      <w:pPr>
        <w:pStyle w:val="Paragraphedeliste"/>
        <w:jc w:val="both"/>
        <w:rPr>
          <w:rFonts w:ascii="Times New Roman" w:hAnsi="Times New Roman" w:cs="Times New Roman"/>
          <w:sz w:val="24"/>
          <w:szCs w:val="24"/>
          <w:lang w:val="en-GB" w:eastAsia="en-MY"/>
        </w:rPr>
      </w:pPr>
    </w:p>
    <w:p w:rsidR="000E599C" w:rsidRPr="00424DB2" w:rsidRDefault="00EB4F63">
      <w:pPr>
        <w:pStyle w:val="Paragraphedeliste"/>
        <w:numPr>
          <w:ilvl w:val="0"/>
          <w:numId w:val="3"/>
        </w:numPr>
        <w:jc w:val="both"/>
        <w:rPr>
          <w:rFonts w:ascii="Times New Roman" w:hAnsi="Times New Roman" w:cs="Times New Roman"/>
          <w:sz w:val="24"/>
          <w:szCs w:val="24"/>
          <w:lang w:val="en-GB" w:eastAsia="en-MY"/>
        </w:rPr>
      </w:pPr>
      <w:r>
        <w:rPr>
          <w:rFonts w:ascii="Times New Roman" w:hAnsi="Times New Roman" w:cs="Times New Roman"/>
          <w:sz w:val="24"/>
          <w:szCs w:val="24"/>
          <w:lang w:val="en-GB"/>
        </w:rPr>
        <w:t>T</w:t>
      </w:r>
      <w:r w:rsidR="001C7B2D" w:rsidRPr="00424DB2">
        <w:rPr>
          <w:rFonts w:ascii="Times New Roman" w:hAnsi="Times New Roman" w:cs="Times New Roman"/>
          <w:sz w:val="24"/>
          <w:szCs w:val="24"/>
          <w:lang w:val="en-GB"/>
        </w:rPr>
        <w:t xml:space="preserve">reaty </w:t>
      </w:r>
      <w:r w:rsidR="00273636">
        <w:rPr>
          <w:rFonts w:ascii="Times New Roman" w:hAnsi="Times New Roman" w:cs="Times New Roman"/>
          <w:sz w:val="24"/>
          <w:szCs w:val="24"/>
          <w:lang w:val="en-GB"/>
        </w:rPr>
        <w:t>b</w:t>
      </w:r>
      <w:r w:rsidR="001C7B2D" w:rsidRPr="00424DB2">
        <w:rPr>
          <w:rFonts w:ascii="Times New Roman" w:hAnsi="Times New Roman" w:cs="Times New Roman"/>
          <w:sz w:val="24"/>
          <w:szCs w:val="24"/>
          <w:lang w:val="en-GB"/>
        </w:rPr>
        <w:t>odies should encourage States to ensure in both nomination</w:t>
      </w:r>
      <w:r w:rsidR="001C7B2D" w:rsidRPr="00424DB2">
        <w:rPr>
          <w:rFonts w:ascii="Times New Roman" w:hAnsi="Times New Roman" w:cs="Times New Roman"/>
          <w:sz w:val="24"/>
          <w:szCs w:val="24"/>
          <w:lang w:val="en-GB" w:eastAsia="ja-JP"/>
        </w:rPr>
        <w:t>s</w:t>
      </w:r>
      <w:r w:rsidR="001C7B2D" w:rsidRPr="00424DB2">
        <w:rPr>
          <w:rFonts w:ascii="Times New Roman" w:hAnsi="Times New Roman" w:cs="Times New Roman"/>
          <w:sz w:val="24"/>
          <w:szCs w:val="24"/>
          <w:lang w:val="en-GB"/>
        </w:rPr>
        <w:t xml:space="preserve"> and election</w:t>
      </w:r>
      <w:r w:rsidR="001C7B2D" w:rsidRPr="00424DB2">
        <w:rPr>
          <w:rFonts w:ascii="Times New Roman" w:hAnsi="Times New Roman" w:cs="Times New Roman"/>
          <w:sz w:val="24"/>
          <w:szCs w:val="24"/>
          <w:lang w:val="en-GB" w:eastAsia="ja-JP"/>
        </w:rPr>
        <w:t>s</w:t>
      </w:r>
      <w:r w:rsidR="001C7B2D" w:rsidRPr="00424DB2">
        <w:rPr>
          <w:rFonts w:ascii="Times New Roman" w:hAnsi="Times New Roman" w:cs="Times New Roman"/>
          <w:sz w:val="24"/>
          <w:szCs w:val="24"/>
          <w:lang w:val="en-GB"/>
        </w:rPr>
        <w:t xml:space="preserve"> that the candidates are persons of high moral standing, have recognised competence and experience in the human rights field covered by the relevant treaty, and are independent as well as to give consideration to equitable geographic distribution and balanced gender representation, and diverse backgrounds and experiences;</w:t>
      </w:r>
    </w:p>
    <w:p w:rsidR="000E599C" w:rsidRPr="00424DB2" w:rsidRDefault="001C7B2D">
      <w:pPr>
        <w:pStyle w:val="Commentaire"/>
        <w:numPr>
          <w:ilvl w:val="0"/>
          <w:numId w:val="4"/>
        </w:numPr>
        <w:jc w:val="both"/>
        <w:rPr>
          <w:rFonts w:ascii="Times New Roman" w:hAnsi="Times New Roman" w:cs="Times New Roman"/>
          <w:sz w:val="24"/>
          <w:szCs w:val="24"/>
          <w:lang w:val="en-US"/>
        </w:rPr>
      </w:pPr>
      <w:r w:rsidRPr="00424DB2">
        <w:rPr>
          <w:rFonts w:ascii="Times New Roman" w:hAnsi="Times New Roman" w:cs="Times New Roman"/>
          <w:sz w:val="24"/>
          <w:szCs w:val="24"/>
          <w:lang w:val="en-GB"/>
        </w:rPr>
        <w:lastRenderedPageBreak/>
        <w:t xml:space="preserve">Before every election, </w:t>
      </w:r>
      <w:r w:rsidR="001C66BC">
        <w:rPr>
          <w:rFonts w:ascii="Times New Roman" w:hAnsi="Times New Roman" w:cs="Times New Roman"/>
          <w:sz w:val="24"/>
          <w:szCs w:val="24"/>
          <w:lang w:val="en-GB"/>
        </w:rPr>
        <w:t>t</w:t>
      </w:r>
      <w:r w:rsidRPr="00424DB2">
        <w:rPr>
          <w:rFonts w:ascii="Times New Roman" w:hAnsi="Times New Roman" w:cs="Times New Roman"/>
          <w:sz w:val="24"/>
          <w:szCs w:val="24"/>
          <w:lang w:val="en-GB"/>
        </w:rPr>
        <w:t xml:space="preserve">reaty </w:t>
      </w:r>
      <w:r w:rsidR="001C66BC">
        <w:rPr>
          <w:rFonts w:ascii="Times New Roman" w:hAnsi="Times New Roman" w:cs="Times New Roman"/>
          <w:sz w:val="24"/>
          <w:szCs w:val="24"/>
          <w:lang w:val="en-GB"/>
        </w:rPr>
        <w:t>b</w:t>
      </w:r>
      <w:r w:rsidRPr="00424DB2">
        <w:rPr>
          <w:rFonts w:ascii="Times New Roman" w:hAnsi="Times New Roman" w:cs="Times New Roman"/>
          <w:sz w:val="24"/>
          <w:szCs w:val="24"/>
          <w:lang w:val="en-GB"/>
        </w:rPr>
        <w:t xml:space="preserve">odies should assist States in identifying the most appropriate candidate by recalling the key requirements for </w:t>
      </w:r>
      <w:r w:rsidR="00ED4A92">
        <w:rPr>
          <w:rFonts w:ascii="Times New Roman" w:hAnsi="Times New Roman" w:cs="Times New Roman"/>
          <w:sz w:val="24"/>
          <w:szCs w:val="24"/>
          <w:lang w:val="en-GB"/>
        </w:rPr>
        <w:t>t</w:t>
      </w:r>
      <w:r w:rsidRPr="00424DB2">
        <w:rPr>
          <w:rFonts w:ascii="Times New Roman" w:hAnsi="Times New Roman" w:cs="Times New Roman"/>
          <w:sz w:val="24"/>
          <w:szCs w:val="24"/>
          <w:lang w:val="en-GB"/>
        </w:rPr>
        <w:t xml:space="preserve">reaty </w:t>
      </w:r>
      <w:r w:rsidR="00ED4A92">
        <w:rPr>
          <w:rFonts w:ascii="Times New Roman" w:hAnsi="Times New Roman" w:cs="Times New Roman"/>
          <w:sz w:val="24"/>
          <w:szCs w:val="24"/>
          <w:lang w:val="en-GB"/>
        </w:rPr>
        <w:t>body membership</w:t>
      </w:r>
      <w:r w:rsidRPr="00424DB2">
        <w:rPr>
          <w:rFonts w:ascii="Times New Roman" w:hAnsi="Times New Roman" w:cs="Times New Roman"/>
          <w:sz w:val="24"/>
          <w:szCs w:val="24"/>
          <w:lang w:val="en-GB"/>
        </w:rPr>
        <w:t xml:space="preserve"> </w:t>
      </w:r>
      <w:r w:rsidRPr="00424DB2">
        <w:rPr>
          <w:rFonts w:ascii="Times New Roman" w:hAnsi="Times New Roman" w:cs="Times New Roman"/>
          <w:sz w:val="24"/>
          <w:szCs w:val="24"/>
          <w:lang w:val="en-US"/>
        </w:rPr>
        <w:t xml:space="preserve">i.e. availability to dedicate time, sensitiveness to cultural differences, etc., and by encouraging </w:t>
      </w:r>
      <w:r w:rsidR="00ED4A92">
        <w:rPr>
          <w:rFonts w:ascii="Times New Roman" w:hAnsi="Times New Roman" w:cs="Times New Roman"/>
          <w:sz w:val="24"/>
          <w:szCs w:val="24"/>
          <w:lang w:val="en-US"/>
        </w:rPr>
        <w:t xml:space="preserve">States </w:t>
      </w:r>
      <w:r w:rsidRPr="00424DB2">
        <w:rPr>
          <w:rFonts w:ascii="Times New Roman" w:hAnsi="Times New Roman" w:cs="Times New Roman"/>
          <w:sz w:val="24"/>
          <w:szCs w:val="24"/>
          <w:lang w:val="en-US"/>
        </w:rPr>
        <w:t xml:space="preserve">to take into account the current composition of the concerned </w:t>
      </w:r>
      <w:r w:rsidR="00ED4A92">
        <w:rPr>
          <w:rFonts w:ascii="Times New Roman" w:hAnsi="Times New Roman" w:cs="Times New Roman"/>
          <w:sz w:val="24"/>
          <w:szCs w:val="24"/>
          <w:lang w:val="en-US"/>
        </w:rPr>
        <w:t>t</w:t>
      </w:r>
      <w:r w:rsidRPr="00424DB2">
        <w:rPr>
          <w:rFonts w:ascii="Times New Roman" w:hAnsi="Times New Roman" w:cs="Times New Roman"/>
          <w:sz w:val="24"/>
          <w:szCs w:val="24"/>
          <w:lang w:val="en-US"/>
        </w:rPr>
        <w:t xml:space="preserve">reaty </w:t>
      </w:r>
      <w:r w:rsidR="00ED4A92">
        <w:rPr>
          <w:rFonts w:ascii="Times New Roman" w:hAnsi="Times New Roman" w:cs="Times New Roman"/>
          <w:sz w:val="24"/>
          <w:szCs w:val="24"/>
          <w:lang w:val="en-US"/>
        </w:rPr>
        <w:t>b</w:t>
      </w:r>
      <w:r w:rsidRPr="00424DB2">
        <w:rPr>
          <w:rFonts w:ascii="Times New Roman" w:hAnsi="Times New Roman" w:cs="Times New Roman"/>
          <w:sz w:val="24"/>
          <w:szCs w:val="24"/>
          <w:lang w:val="en-US"/>
        </w:rPr>
        <w:t xml:space="preserve">ody and its outgoing members as well as the current and potential gaps in expertise, regional and gender balance. </w:t>
      </w:r>
    </w:p>
    <w:p w:rsidR="000E599C" w:rsidRPr="00424DB2" w:rsidRDefault="000E599C">
      <w:pPr>
        <w:rPr>
          <w:rFonts w:ascii="Times New Roman" w:hAnsi="Times New Roman" w:cs="Times New Roman"/>
          <w:sz w:val="24"/>
          <w:szCs w:val="24"/>
          <w:lang w:val="en-US"/>
        </w:rPr>
      </w:pPr>
    </w:p>
    <w:p w:rsidR="000E599C" w:rsidRPr="00424DB2" w:rsidRDefault="001C7B2D">
      <w:pPr>
        <w:jc w:val="both"/>
        <w:rPr>
          <w:rFonts w:ascii="Times New Roman" w:hAnsi="Times New Roman" w:cs="Times New Roman"/>
          <w:b/>
          <w:bCs/>
          <w:sz w:val="24"/>
          <w:szCs w:val="24"/>
          <w:lang w:val="en-GB"/>
        </w:rPr>
      </w:pPr>
      <w:r w:rsidRPr="00424DB2">
        <w:rPr>
          <w:rFonts w:ascii="Times New Roman" w:hAnsi="Times New Roman" w:cs="Times New Roman"/>
          <w:b/>
          <w:bCs/>
          <w:sz w:val="24"/>
          <w:szCs w:val="24"/>
          <w:lang w:val="en-GB"/>
        </w:rPr>
        <w:t>3.</w:t>
      </w:r>
      <w:r w:rsidRPr="00424DB2">
        <w:rPr>
          <w:rFonts w:ascii="Times New Roman" w:hAnsi="Times New Roman" w:cs="Times New Roman"/>
          <w:b/>
          <w:sz w:val="24"/>
          <w:szCs w:val="24"/>
          <w:lang w:val="en-GB"/>
        </w:rPr>
        <w:tab/>
      </w:r>
      <w:r w:rsidRPr="00424DB2">
        <w:rPr>
          <w:rFonts w:ascii="Times New Roman" w:hAnsi="Times New Roman" w:cs="Times New Roman"/>
          <w:b/>
          <w:bCs/>
          <w:sz w:val="24"/>
          <w:szCs w:val="24"/>
          <w:lang w:val="en-GB"/>
        </w:rPr>
        <w:t>Official Webcast of Treaty Bodies public meetings</w:t>
      </w:r>
    </w:p>
    <w:p w:rsidR="000E599C" w:rsidRPr="00424DB2" w:rsidRDefault="001C7B2D">
      <w:p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 xml:space="preserve">TB-Net appreciates the advancements by </w:t>
      </w:r>
      <w:r w:rsidR="00ED4A92">
        <w:rPr>
          <w:rFonts w:ascii="Times New Roman" w:hAnsi="Times New Roman" w:cs="Times New Roman"/>
          <w:sz w:val="24"/>
          <w:szCs w:val="24"/>
          <w:lang w:val="en-GB"/>
        </w:rPr>
        <w:t>t</w:t>
      </w:r>
      <w:r w:rsidRPr="00424DB2">
        <w:rPr>
          <w:rFonts w:ascii="Times New Roman" w:hAnsi="Times New Roman" w:cs="Times New Roman"/>
          <w:sz w:val="24"/>
          <w:szCs w:val="24"/>
          <w:lang w:val="en-GB"/>
        </w:rPr>
        <w:t xml:space="preserve">reaty </w:t>
      </w:r>
      <w:r w:rsidR="00ED4A92">
        <w:rPr>
          <w:rFonts w:ascii="Times New Roman" w:hAnsi="Times New Roman" w:cs="Times New Roman"/>
          <w:sz w:val="24"/>
          <w:szCs w:val="24"/>
          <w:lang w:val="en-GB"/>
        </w:rPr>
        <w:t>b</w:t>
      </w:r>
      <w:r w:rsidRPr="00424DB2">
        <w:rPr>
          <w:rFonts w:ascii="Times New Roman" w:hAnsi="Times New Roman" w:cs="Times New Roman"/>
          <w:sz w:val="24"/>
          <w:szCs w:val="24"/>
          <w:lang w:val="en-GB"/>
        </w:rPr>
        <w:t>odies in ensuring that UN</w:t>
      </w:r>
      <w:r w:rsidR="00ED4A92">
        <w:rPr>
          <w:rFonts w:ascii="Times New Roman" w:hAnsi="Times New Roman" w:cs="Times New Roman"/>
          <w:sz w:val="24"/>
          <w:szCs w:val="24"/>
          <w:lang w:val="en-GB"/>
        </w:rPr>
        <w:t xml:space="preserve"> </w:t>
      </w:r>
      <w:r w:rsidRPr="00424DB2">
        <w:rPr>
          <w:rFonts w:ascii="Times New Roman" w:hAnsi="Times New Roman" w:cs="Times New Roman"/>
          <w:sz w:val="24"/>
          <w:szCs w:val="24"/>
          <w:lang w:val="en-GB"/>
        </w:rPr>
        <w:t>Web</w:t>
      </w:r>
      <w:r w:rsidR="00ED4A92">
        <w:rPr>
          <w:rFonts w:ascii="Times New Roman" w:hAnsi="Times New Roman" w:cs="Times New Roman"/>
          <w:sz w:val="24"/>
          <w:szCs w:val="24"/>
          <w:lang w:val="en-GB"/>
        </w:rPr>
        <w:t xml:space="preserve"> </w:t>
      </w:r>
      <w:r w:rsidRPr="00424DB2">
        <w:rPr>
          <w:rFonts w:ascii="Times New Roman" w:hAnsi="Times New Roman" w:cs="Times New Roman"/>
          <w:sz w:val="24"/>
          <w:szCs w:val="24"/>
          <w:lang w:val="en-GB"/>
        </w:rPr>
        <w:t>TV provides  official webcast of public meetings, in English and in relevant languages for the country (whether in another UN language with interpretation provided by UNOG, or a non-UN national language when States provide for interpretation- e.g. CEDAW Committee on Republic of Korea). This is key to allow civil society and the right</w:t>
      </w:r>
      <w:r w:rsidR="00ED4A92">
        <w:rPr>
          <w:rFonts w:ascii="Times New Roman" w:hAnsi="Times New Roman" w:cs="Times New Roman"/>
          <w:sz w:val="24"/>
          <w:szCs w:val="24"/>
          <w:lang w:val="en-GB"/>
        </w:rPr>
        <w:t>-</w:t>
      </w:r>
      <w:r w:rsidRPr="00424DB2">
        <w:rPr>
          <w:rFonts w:ascii="Times New Roman" w:hAnsi="Times New Roman" w:cs="Times New Roman"/>
          <w:sz w:val="24"/>
          <w:szCs w:val="24"/>
          <w:lang w:val="en-GB"/>
        </w:rPr>
        <w:t>holders of each State to access the substantive discussions on their rights.</w:t>
      </w:r>
    </w:p>
    <w:p w:rsidR="000E599C" w:rsidRPr="00424DB2" w:rsidRDefault="001C7B2D">
      <w:p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 xml:space="preserve">However, TB-Net is extremely concerned that funds would only be available for </w:t>
      </w:r>
      <w:r w:rsidR="003C0253">
        <w:rPr>
          <w:rFonts w:ascii="Times New Roman" w:hAnsi="Times New Roman" w:cs="Times New Roman"/>
          <w:sz w:val="24"/>
          <w:szCs w:val="24"/>
          <w:lang w:val="en-GB"/>
        </w:rPr>
        <w:t>w</w:t>
      </w:r>
      <w:r w:rsidRPr="00424DB2">
        <w:rPr>
          <w:rFonts w:ascii="Times New Roman" w:hAnsi="Times New Roman" w:cs="Times New Roman"/>
          <w:sz w:val="24"/>
          <w:szCs w:val="24"/>
          <w:lang w:val="en-GB"/>
        </w:rPr>
        <w:t>ebcast till June 2018, with no available information indicating continuation. In terms of current -and future- operation, we believe that procedures for the provision of alternative UN languages and of national language must be improved to allow for timely dissemination of related information and prevent any inconvenience, gap of transmission or</w:t>
      </w:r>
      <w:r w:rsidR="003C0253">
        <w:rPr>
          <w:rFonts w:ascii="Times New Roman" w:hAnsi="Times New Roman" w:cs="Times New Roman"/>
          <w:sz w:val="24"/>
          <w:szCs w:val="24"/>
          <w:lang w:val="en-GB"/>
        </w:rPr>
        <w:t xml:space="preserve"> confusion of the users of the w</w:t>
      </w:r>
      <w:r w:rsidRPr="00424DB2">
        <w:rPr>
          <w:rFonts w:ascii="Times New Roman" w:hAnsi="Times New Roman" w:cs="Times New Roman"/>
          <w:sz w:val="24"/>
          <w:szCs w:val="24"/>
          <w:lang w:val="en-GB"/>
        </w:rPr>
        <w:t xml:space="preserve">ebcast during the public sessions. </w:t>
      </w:r>
    </w:p>
    <w:p w:rsidR="000E599C" w:rsidRPr="00424DB2" w:rsidRDefault="001C7B2D">
      <w:pPr>
        <w:jc w:val="both"/>
        <w:rPr>
          <w:rFonts w:ascii="Times New Roman" w:hAnsi="Times New Roman" w:cs="Times New Roman"/>
          <w:b/>
          <w:bCs/>
          <w:sz w:val="24"/>
          <w:szCs w:val="24"/>
          <w:lang w:val="en-GB"/>
        </w:rPr>
      </w:pPr>
      <w:r w:rsidRPr="00424DB2">
        <w:rPr>
          <w:rFonts w:ascii="Times New Roman" w:hAnsi="Times New Roman" w:cs="Times New Roman"/>
          <w:b/>
          <w:bCs/>
          <w:sz w:val="24"/>
          <w:szCs w:val="24"/>
          <w:lang w:val="en-GB"/>
        </w:rPr>
        <w:t>Recommendations</w:t>
      </w:r>
    </w:p>
    <w:p w:rsidR="000E599C" w:rsidRPr="00424DB2" w:rsidRDefault="001C7B2D">
      <w:pPr>
        <w:pStyle w:val="Paragraphedeliste"/>
        <w:numPr>
          <w:ilvl w:val="0"/>
          <w:numId w:val="5"/>
        </w:num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 xml:space="preserve">Treaty </w:t>
      </w:r>
      <w:r w:rsidR="00ED4A92">
        <w:rPr>
          <w:rFonts w:ascii="Times New Roman" w:hAnsi="Times New Roman" w:cs="Times New Roman"/>
          <w:sz w:val="24"/>
          <w:szCs w:val="24"/>
          <w:lang w:val="en-GB"/>
        </w:rPr>
        <w:t>b</w:t>
      </w:r>
      <w:r w:rsidRPr="00424DB2">
        <w:rPr>
          <w:rFonts w:ascii="Times New Roman" w:hAnsi="Times New Roman" w:cs="Times New Roman"/>
          <w:sz w:val="24"/>
          <w:szCs w:val="24"/>
          <w:lang w:val="en-GB"/>
        </w:rPr>
        <w:t>odies should seek to request and ensure that funding is immediately available to continue with the provision of official webcast by UN</w:t>
      </w:r>
      <w:r w:rsidR="00ED4A92">
        <w:rPr>
          <w:rFonts w:ascii="Times New Roman" w:hAnsi="Times New Roman" w:cs="Times New Roman"/>
          <w:sz w:val="24"/>
          <w:szCs w:val="24"/>
          <w:lang w:val="en-GB"/>
        </w:rPr>
        <w:t xml:space="preserve"> </w:t>
      </w:r>
      <w:r w:rsidRPr="00424DB2">
        <w:rPr>
          <w:rFonts w:ascii="Times New Roman" w:hAnsi="Times New Roman" w:cs="Times New Roman"/>
          <w:sz w:val="24"/>
          <w:szCs w:val="24"/>
          <w:lang w:val="en-GB"/>
        </w:rPr>
        <w:t>Web</w:t>
      </w:r>
      <w:r w:rsidR="00ED4A92">
        <w:rPr>
          <w:rFonts w:ascii="Times New Roman" w:hAnsi="Times New Roman" w:cs="Times New Roman"/>
          <w:sz w:val="24"/>
          <w:szCs w:val="24"/>
          <w:lang w:val="en-GB"/>
        </w:rPr>
        <w:t xml:space="preserve"> </w:t>
      </w:r>
      <w:r w:rsidRPr="00424DB2">
        <w:rPr>
          <w:rFonts w:ascii="Times New Roman" w:hAnsi="Times New Roman" w:cs="Times New Roman"/>
          <w:sz w:val="24"/>
          <w:szCs w:val="24"/>
          <w:lang w:val="en-GB"/>
        </w:rPr>
        <w:t xml:space="preserve">TV, in a foreseeable and sustainable manner. </w:t>
      </w:r>
    </w:p>
    <w:p w:rsidR="000E599C" w:rsidRPr="00424DB2" w:rsidRDefault="000E599C">
      <w:pPr>
        <w:pStyle w:val="Paragraphedeliste"/>
        <w:jc w:val="both"/>
        <w:rPr>
          <w:rFonts w:ascii="Times New Roman" w:hAnsi="Times New Roman" w:cs="Times New Roman"/>
          <w:sz w:val="24"/>
          <w:szCs w:val="24"/>
          <w:lang w:val="en-GB"/>
        </w:rPr>
      </w:pPr>
    </w:p>
    <w:p w:rsidR="000E599C" w:rsidRDefault="001C7B2D">
      <w:pPr>
        <w:pStyle w:val="Paragraphedeliste"/>
        <w:numPr>
          <w:ilvl w:val="0"/>
          <w:numId w:val="5"/>
        </w:numPr>
        <w:jc w:val="both"/>
        <w:rPr>
          <w:rFonts w:ascii="Times New Roman" w:hAnsi="Times New Roman" w:cs="Times New Roman"/>
          <w:sz w:val="24"/>
          <w:szCs w:val="24"/>
          <w:lang w:val="en-GB"/>
        </w:rPr>
      </w:pPr>
      <w:r w:rsidRPr="00424DB2">
        <w:rPr>
          <w:rFonts w:ascii="Times New Roman" w:hAnsi="Times New Roman" w:cs="Times New Roman"/>
          <w:sz w:val="24"/>
          <w:szCs w:val="24"/>
          <w:lang w:val="en-GB"/>
        </w:rPr>
        <w:t xml:space="preserve">Treaty </w:t>
      </w:r>
      <w:r w:rsidR="00ED4A92">
        <w:rPr>
          <w:rFonts w:ascii="Times New Roman" w:hAnsi="Times New Roman" w:cs="Times New Roman"/>
          <w:sz w:val="24"/>
          <w:szCs w:val="24"/>
          <w:lang w:val="en-GB"/>
        </w:rPr>
        <w:t>b</w:t>
      </w:r>
      <w:r w:rsidRPr="00424DB2">
        <w:rPr>
          <w:rFonts w:ascii="Times New Roman" w:hAnsi="Times New Roman" w:cs="Times New Roman"/>
          <w:sz w:val="24"/>
          <w:szCs w:val="24"/>
          <w:lang w:val="en-GB"/>
        </w:rPr>
        <w:t xml:space="preserve">odies, involving their Secretariats, should develop and formalise clear protocols to </w:t>
      </w:r>
      <w:r w:rsidRPr="003C0253">
        <w:rPr>
          <w:rFonts w:ascii="Times New Roman" w:hAnsi="Times New Roman" w:cs="Times New Roman"/>
          <w:sz w:val="24"/>
          <w:szCs w:val="24"/>
          <w:lang w:val="en-GB"/>
        </w:rPr>
        <w:t>definitively institutionalise the practic</w:t>
      </w:r>
      <w:r w:rsidR="003C0253">
        <w:rPr>
          <w:rFonts w:ascii="Times New Roman" w:hAnsi="Times New Roman" w:cs="Times New Roman"/>
          <w:sz w:val="24"/>
          <w:szCs w:val="24"/>
          <w:lang w:val="en-GB"/>
        </w:rPr>
        <w:t>e of providing, when relevant, w</w:t>
      </w:r>
      <w:r w:rsidRPr="003C0253">
        <w:rPr>
          <w:rFonts w:ascii="Times New Roman" w:hAnsi="Times New Roman" w:cs="Times New Roman"/>
          <w:sz w:val="24"/>
          <w:szCs w:val="24"/>
          <w:lang w:val="en-GB"/>
        </w:rPr>
        <w:t>ebcast in alternative UN languages and in non-UN national languages when States provide for interpretation. In this last case, prior communication with States (to check if they will provide interpretation in their national language) and UN departments involved (</w:t>
      </w:r>
      <w:r w:rsidR="003C0253" w:rsidRPr="003C0253">
        <w:rPr>
          <w:rFonts w:ascii="Times New Roman" w:hAnsi="Times New Roman" w:cs="Times New Roman"/>
          <w:sz w:val="24"/>
          <w:szCs w:val="24"/>
          <w:lang w:val="en-GB"/>
        </w:rPr>
        <w:t>for inclusion</w:t>
      </w:r>
      <w:r w:rsidRPr="003C0253">
        <w:rPr>
          <w:rFonts w:ascii="Times New Roman" w:hAnsi="Times New Roman" w:cs="Times New Roman"/>
          <w:sz w:val="24"/>
          <w:szCs w:val="24"/>
          <w:lang w:val="en-GB"/>
        </w:rPr>
        <w:t xml:space="preserve"> </w:t>
      </w:r>
      <w:r w:rsidR="003C0253" w:rsidRPr="003C0253">
        <w:rPr>
          <w:rFonts w:ascii="Times New Roman" w:hAnsi="Times New Roman" w:cs="Times New Roman"/>
          <w:sz w:val="24"/>
          <w:szCs w:val="24"/>
          <w:lang w:val="en-GB"/>
        </w:rPr>
        <w:t xml:space="preserve">of </w:t>
      </w:r>
      <w:r w:rsidRPr="003C0253">
        <w:rPr>
          <w:rFonts w:ascii="Times New Roman" w:hAnsi="Times New Roman" w:cs="Times New Roman"/>
          <w:sz w:val="24"/>
          <w:szCs w:val="24"/>
          <w:lang w:val="en-GB"/>
        </w:rPr>
        <w:t>the national language in the op</w:t>
      </w:r>
      <w:r w:rsidR="008C2032">
        <w:rPr>
          <w:rFonts w:ascii="Times New Roman" w:hAnsi="Times New Roman" w:cs="Times New Roman"/>
          <w:sz w:val="24"/>
          <w:szCs w:val="24"/>
          <w:lang w:val="en-GB"/>
        </w:rPr>
        <w:t xml:space="preserve">tions of languages in UN </w:t>
      </w:r>
      <w:r w:rsidR="003C0253" w:rsidRPr="003C0253">
        <w:rPr>
          <w:rFonts w:ascii="Times New Roman" w:hAnsi="Times New Roman" w:cs="Times New Roman"/>
          <w:sz w:val="24"/>
          <w:szCs w:val="24"/>
          <w:lang w:val="en-GB"/>
        </w:rPr>
        <w:t xml:space="preserve">Web TV) </w:t>
      </w:r>
      <w:r w:rsidRPr="003C0253">
        <w:rPr>
          <w:rFonts w:ascii="Times New Roman" w:hAnsi="Times New Roman" w:cs="Times New Roman"/>
          <w:sz w:val="24"/>
          <w:szCs w:val="24"/>
          <w:lang w:val="en-GB"/>
        </w:rPr>
        <w:t xml:space="preserve">is key to ensure in advance notice to the potential audience at the national level (e.g. in informative notes by </w:t>
      </w:r>
      <w:r w:rsidR="003C0253" w:rsidRPr="003C0253">
        <w:rPr>
          <w:rFonts w:ascii="Times New Roman" w:hAnsi="Times New Roman" w:cs="Times New Roman"/>
          <w:sz w:val="24"/>
          <w:szCs w:val="24"/>
          <w:lang w:val="en-GB"/>
        </w:rPr>
        <w:t>the treaty bodies</w:t>
      </w:r>
      <w:r w:rsidRPr="003C0253">
        <w:rPr>
          <w:rFonts w:ascii="Times New Roman" w:hAnsi="Times New Roman" w:cs="Times New Roman"/>
          <w:sz w:val="24"/>
          <w:szCs w:val="24"/>
          <w:lang w:val="en-GB"/>
        </w:rPr>
        <w:t>) and proper prov</w:t>
      </w:r>
      <w:r w:rsidR="003C0253">
        <w:rPr>
          <w:rFonts w:ascii="Times New Roman" w:hAnsi="Times New Roman" w:cs="Times New Roman"/>
          <w:sz w:val="24"/>
          <w:szCs w:val="24"/>
          <w:lang w:val="en-GB"/>
        </w:rPr>
        <w:t>ision of w</w:t>
      </w:r>
      <w:r w:rsidRPr="003C0253">
        <w:rPr>
          <w:rFonts w:ascii="Times New Roman" w:hAnsi="Times New Roman" w:cs="Times New Roman"/>
          <w:sz w:val="24"/>
          <w:szCs w:val="24"/>
          <w:lang w:val="en-GB"/>
        </w:rPr>
        <w:t>ebcast.</w:t>
      </w:r>
      <w:r w:rsidRPr="00424DB2">
        <w:rPr>
          <w:rFonts w:ascii="Times New Roman" w:hAnsi="Times New Roman" w:cs="Times New Roman"/>
          <w:sz w:val="24"/>
          <w:szCs w:val="24"/>
          <w:lang w:val="en-GB"/>
        </w:rPr>
        <w:t xml:space="preserve">   </w:t>
      </w:r>
    </w:p>
    <w:p w:rsidR="006851A5" w:rsidRDefault="006851A5" w:rsidP="006851A5">
      <w:pPr>
        <w:jc w:val="both"/>
        <w:rPr>
          <w:rFonts w:ascii="Times New Roman" w:hAnsi="Times New Roman" w:cs="Times New Roman"/>
          <w:sz w:val="24"/>
          <w:szCs w:val="24"/>
          <w:lang w:val="en-GB"/>
        </w:rPr>
      </w:pPr>
    </w:p>
    <w:p w:rsidR="006851A5" w:rsidRDefault="006851A5" w:rsidP="006851A5">
      <w:pPr>
        <w:jc w:val="both"/>
        <w:rPr>
          <w:rFonts w:ascii="Times New Roman" w:hAnsi="Times New Roman" w:cs="Times New Roman"/>
          <w:sz w:val="24"/>
          <w:szCs w:val="24"/>
          <w:lang w:val="en-GB"/>
        </w:rPr>
      </w:pPr>
      <w:r w:rsidRPr="009B7C57">
        <w:rPr>
          <w:rFonts w:ascii="Times New Roman" w:hAnsi="Times New Roman" w:cs="Times New Roman"/>
          <w:sz w:val="24"/>
          <w:szCs w:val="24"/>
          <w:lang w:val="en-GB"/>
        </w:rPr>
        <w:t xml:space="preserve">We </w:t>
      </w:r>
      <w:r w:rsidR="009B7C57" w:rsidRPr="009B7C57">
        <w:rPr>
          <w:rFonts w:ascii="Times New Roman" w:hAnsi="Times New Roman" w:cs="Times New Roman"/>
          <w:sz w:val="24"/>
          <w:szCs w:val="24"/>
          <w:lang w:val="en-GB"/>
        </w:rPr>
        <w:t>hope you will consider our recommendations and</w:t>
      </w:r>
      <w:r w:rsidR="008C2032">
        <w:rPr>
          <w:rFonts w:ascii="Times New Roman" w:hAnsi="Times New Roman" w:cs="Times New Roman"/>
          <w:sz w:val="24"/>
          <w:szCs w:val="24"/>
          <w:lang w:val="en-GB"/>
        </w:rPr>
        <w:t xml:space="preserve"> we</w:t>
      </w:r>
      <w:r w:rsidR="009B7C57" w:rsidRPr="009B7C57">
        <w:rPr>
          <w:rFonts w:ascii="Times New Roman" w:hAnsi="Times New Roman" w:cs="Times New Roman"/>
          <w:sz w:val="24"/>
          <w:szCs w:val="24"/>
          <w:lang w:val="en-GB"/>
        </w:rPr>
        <w:t xml:space="preserve"> </w:t>
      </w:r>
      <w:r w:rsidRPr="009B7C57">
        <w:rPr>
          <w:rFonts w:ascii="Times New Roman" w:hAnsi="Times New Roman" w:cs="Times New Roman"/>
          <w:sz w:val="24"/>
          <w:szCs w:val="24"/>
          <w:lang w:val="en-GB"/>
        </w:rPr>
        <w:t>look forward to continued engagement on these issues.</w:t>
      </w:r>
    </w:p>
    <w:p w:rsidR="009B7C57" w:rsidRDefault="009B7C57" w:rsidP="006851A5">
      <w:pPr>
        <w:jc w:val="both"/>
        <w:rPr>
          <w:rFonts w:ascii="Times New Roman" w:hAnsi="Times New Roman" w:cs="Times New Roman"/>
          <w:sz w:val="24"/>
          <w:szCs w:val="24"/>
          <w:lang w:val="en-GB"/>
        </w:rPr>
      </w:pPr>
    </w:p>
    <w:p w:rsidR="006851A5" w:rsidRDefault="006851A5" w:rsidP="006851A5">
      <w:pPr>
        <w:jc w:val="both"/>
        <w:rPr>
          <w:rFonts w:ascii="Times New Roman" w:hAnsi="Times New Roman" w:cs="Times New Roman"/>
          <w:sz w:val="24"/>
          <w:szCs w:val="24"/>
          <w:lang w:val="en-GB"/>
        </w:rPr>
      </w:pPr>
      <w:r>
        <w:rPr>
          <w:rFonts w:ascii="Times New Roman" w:hAnsi="Times New Roman" w:cs="Times New Roman"/>
          <w:sz w:val="24"/>
          <w:szCs w:val="24"/>
          <w:lang w:val="en-GB"/>
        </w:rPr>
        <w:t>Thank you,</w:t>
      </w:r>
    </w:p>
    <w:p w:rsidR="006851A5" w:rsidRDefault="006851A5" w:rsidP="006851A5">
      <w:pPr>
        <w:jc w:val="both"/>
        <w:rPr>
          <w:rFonts w:ascii="Times New Roman" w:hAnsi="Times New Roman" w:cs="Times New Roman"/>
          <w:sz w:val="24"/>
          <w:szCs w:val="24"/>
          <w:lang w:val="en-GB"/>
        </w:rPr>
      </w:pPr>
      <w:r>
        <w:rPr>
          <w:rFonts w:ascii="Times New Roman" w:hAnsi="Times New Roman" w:cs="Times New Roman"/>
          <w:sz w:val="24"/>
          <w:szCs w:val="24"/>
          <w:lang w:val="en-GB"/>
        </w:rPr>
        <w:t>The NGO Network on UN Treaty Bodies (TB-Net)</w:t>
      </w:r>
    </w:p>
    <w:p w:rsidR="006851A5" w:rsidRDefault="006851A5" w:rsidP="006851A5">
      <w:pPr>
        <w:jc w:val="both"/>
        <w:rPr>
          <w:rFonts w:ascii="Times New Roman" w:hAnsi="Times New Roman" w:cs="Times New Roman"/>
          <w:sz w:val="24"/>
          <w:szCs w:val="24"/>
          <w:lang w:val="en-GB"/>
        </w:rPr>
      </w:pPr>
    </w:p>
    <w:p w:rsidR="006851A5" w:rsidRPr="006851A5" w:rsidRDefault="006851A5" w:rsidP="006851A5">
      <w:pPr>
        <w:jc w:val="both"/>
        <w:rPr>
          <w:rFonts w:ascii="Times New Roman" w:hAnsi="Times New Roman" w:cs="Times New Roman"/>
          <w:sz w:val="24"/>
          <w:szCs w:val="24"/>
          <w:lang w:val="en-GB"/>
        </w:rPr>
      </w:pPr>
    </w:p>
    <w:sectPr w:rsidR="006851A5" w:rsidRPr="006851A5" w:rsidSect="006851A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C7" w:rsidRDefault="00255DC7">
      <w:pPr>
        <w:spacing w:after="0" w:line="240" w:lineRule="auto"/>
      </w:pPr>
      <w:r>
        <w:separator/>
      </w:r>
    </w:p>
  </w:endnote>
  <w:endnote w:type="continuationSeparator" w:id="0">
    <w:p w:rsidR="00255DC7" w:rsidRDefault="0025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C7" w:rsidRDefault="00255DC7">
      <w:pPr>
        <w:spacing w:after="0" w:line="240" w:lineRule="auto"/>
      </w:pPr>
      <w:r>
        <w:separator/>
      </w:r>
    </w:p>
  </w:footnote>
  <w:footnote w:type="continuationSeparator" w:id="0">
    <w:p w:rsidR="00255DC7" w:rsidRDefault="00255DC7">
      <w:pPr>
        <w:spacing w:after="0" w:line="240" w:lineRule="auto"/>
      </w:pPr>
      <w:r>
        <w:continuationSeparator/>
      </w:r>
    </w:p>
  </w:footnote>
  <w:footnote w:id="1">
    <w:p w:rsidR="000E599C" w:rsidRDefault="001C7B2D">
      <w:pPr>
        <w:pStyle w:val="Notedebasdepage"/>
        <w:rPr>
          <w:rFonts w:ascii="Times" w:hAnsi="Times"/>
          <w:sz w:val="20"/>
          <w:szCs w:val="20"/>
        </w:rPr>
      </w:pPr>
      <w:r>
        <w:rPr>
          <w:rStyle w:val="Marquenotebasdepage"/>
          <w:rFonts w:ascii="Times" w:hAnsi="Times"/>
          <w:sz w:val="20"/>
          <w:szCs w:val="20"/>
        </w:rPr>
        <w:footnoteRef/>
      </w:r>
      <w:r>
        <w:rPr>
          <w:rFonts w:ascii="Times" w:hAnsi="Times"/>
          <w:sz w:val="20"/>
          <w:szCs w:val="20"/>
        </w:rPr>
        <w:t xml:space="preserve"> Centre for Civil and Political Rights (CCPR-Centre), Child Rights Connect, the Global Initiative for Economic, Social and Cultural Rights (GIESCR), the International Disability Alliance (IDA), the International Movement Against All Forms of Discrimination and Racism (IMADR), International Women</w:t>
      </w:r>
      <w:r w:rsidR="00425572">
        <w:rPr>
          <w:rFonts w:ascii="Times" w:hAnsi="Times"/>
          <w:sz w:val="20"/>
          <w:szCs w:val="20"/>
        </w:rPr>
        <w:t>’</w:t>
      </w:r>
      <w:r>
        <w:rPr>
          <w:rFonts w:ascii="Times" w:hAnsi="Times"/>
          <w:sz w:val="20"/>
          <w:szCs w:val="20"/>
        </w:rPr>
        <w:t>s Rights Action Watch Asia Pacific (IWRAW-Asia Pacific) and the World Organisation Against Torture (OMCT)</w:t>
      </w:r>
    </w:p>
  </w:footnote>
  <w:footnote w:id="2">
    <w:p w:rsidR="000E599C" w:rsidRDefault="001C7B2D">
      <w:pPr>
        <w:pStyle w:val="Notedebasdepage"/>
        <w:rPr>
          <w:rFonts w:ascii="Times" w:hAnsi="Times"/>
          <w:sz w:val="20"/>
          <w:szCs w:val="20"/>
        </w:rPr>
      </w:pPr>
      <w:r>
        <w:rPr>
          <w:rStyle w:val="Marquenotebasdepage"/>
          <w:rFonts w:ascii="Times" w:hAnsi="Times"/>
          <w:sz w:val="20"/>
          <w:szCs w:val="20"/>
        </w:rPr>
        <w:footnoteRef/>
      </w:r>
      <w:r>
        <w:rPr>
          <w:rFonts w:ascii="Times" w:hAnsi="Times"/>
          <w:sz w:val="20"/>
          <w:szCs w:val="20"/>
        </w:rPr>
        <w:t xml:space="preserve"> “Promoting Quality, Independence and Diversity in Treaty Body Membership: the Importance of Transparent and Participatory Nominations and Election Processes”, </w:t>
      </w:r>
      <w:hyperlink r:id="rId1" w:history="1">
        <w:r>
          <w:rPr>
            <w:rStyle w:val="Lienhypertexte"/>
            <w:rFonts w:ascii="Times" w:hAnsi="Times"/>
            <w:sz w:val="20"/>
            <w:szCs w:val="20"/>
          </w:rPr>
          <w:t>https://www.facebook.com/notes/tb-net/event-report-promoting-quality-independence-and-diversity-in-treaty-body-members/2017859365128158/</w:t>
        </w:r>
      </w:hyperlink>
      <w:r>
        <w:rPr>
          <w:rFonts w:ascii="Times" w:hAnsi="Times"/>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E17"/>
    <w:multiLevelType w:val="multilevel"/>
    <w:tmpl w:val="04C76E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C1808E6"/>
    <w:multiLevelType w:val="multilevel"/>
    <w:tmpl w:val="4C180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F8D2572"/>
    <w:multiLevelType w:val="multilevel"/>
    <w:tmpl w:val="4F8D2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09A1A26"/>
    <w:multiLevelType w:val="multilevel"/>
    <w:tmpl w:val="709A1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9A632FC"/>
    <w:multiLevelType w:val="multilevel"/>
    <w:tmpl w:val="79A63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C0"/>
    <w:rsid w:val="000171B4"/>
    <w:rsid w:val="00021CA8"/>
    <w:rsid w:val="00041934"/>
    <w:rsid w:val="00081B5C"/>
    <w:rsid w:val="00094CD1"/>
    <w:rsid w:val="000B28CA"/>
    <w:rsid w:val="000E599C"/>
    <w:rsid w:val="001023D6"/>
    <w:rsid w:val="00103E86"/>
    <w:rsid w:val="00124798"/>
    <w:rsid w:val="00127BAD"/>
    <w:rsid w:val="00135B2A"/>
    <w:rsid w:val="00143CC6"/>
    <w:rsid w:val="00144F2E"/>
    <w:rsid w:val="00153E42"/>
    <w:rsid w:val="001819D8"/>
    <w:rsid w:val="00183CA2"/>
    <w:rsid w:val="001A5118"/>
    <w:rsid w:val="001B06A5"/>
    <w:rsid w:val="001C66BC"/>
    <w:rsid w:val="001C7B2D"/>
    <w:rsid w:val="00255DC7"/>
    <w:rsid w:val="00273636"/>
    <w:rsid w:val="00280D06"/>
    <w:rsid w:val="00297A53"/>
    <w:rsid w:val="002A275F"/>
    <w:rsid w:val="002D20B0"/>
    <w:rsid w:val="002E46C0"/>
    <w:rsid w:val="00313745"/>
    <w:rsid w:val="0032411A"/>
    <w:rsid w:val="003367CB"/>
    <w:rsid w:val="003458DF"/>
    <w:rsid w:val="00346AFB"/>
    <w:rsid w:val="003C0253"/>
    <w:rsid w:val="003C79DA"/>
    <w:rsid w:val="003D49A2"/>
    <w:rsid w:val="003E13BE"/>
    <w:rsid w:val="003F02F0"/>
    <w:rsid w:val="00424DB2"/>
    <w:rsid w:val="00425572"/>
    <w:rsid w:val="004320DF"/>
    <w:rsid w:val="004333BA"/>
    <w:rsid w:val="00440436"/>
    <w:rsid w:val="00442C18"/>
    <w:rsid w:val="004465CF"/>
    <w:rsid w:val="00476F51"/>
    <w:rsid w:val="004B0C89"/>
    <w:rsid w:val="004B30C5"/>
    <w:rsid w:val="004B48A2"/>
    <w:rsid w:val="004D0DD1"/>
    <w:rsid w:val="00505D43"/>
    <w:rsid w:val="00510F87"/>
    <w:rsid w:val="00511F66"/>
    <w:rsid w:val="00512CBA"/>
    <w:rsid w:val="00523DD0"/>
    <w:rsid w:val="00545A58"/>
    <w:rsid w:val="005A20FA"/>
    <w:rsid w:val="005B71CD"/>
    <w:rsid w:val="005D7F3D"/>
    <w:rsid w:val="005E483D"/>
    <w:rsid w:val="006162CD"/>
    <w:rsid w:val="006540F8"/>
    <w:rsid w:val="006662EE"/>
    <w:rsid w:val="006851A5"/>
    <w:rsid w:val="006F18DA"/>
    <w:rsid w:val="006F30E4"/>
    <w:rsid w:val="006F489E"/>
    <w:rsid w:val="00724973"/>
    <w:rsid w:val="0075624A"/>
    <w:rsid w:val="007668A3"/>
    <w:rsid w:val="00766B1C"/>
    <w:rsid w:val="00780C41"/>
    <w:rsid w:val="0079240C"/>
    <w:rsid w:val="007D1176"/>
    <w:rsid w:val="007D5E2A"/>
    <w:rsid w:val="007E1892"/>
    <w:rsid w:val="007F1958"/>
    <w:rsid w:val="008062CC"/>
    <w:rsid w:val="00863299"/>
    <w:rsid w:val="008732D9"/>
    <w:rsid w:val="00892F2B"/>
    <w:rsid w:val="00894BCE"/>
    <w:rsid w:val="008B7CA7"/>
    <w:rsid w:val="008C0E92"/>
    <w:rsid w:val="008C2032"/>
    <w:rsid w:val="008C5A46"/>
    <w:rsid w:val="008E547B"/>
    <w:rsid w:val="00906875"/>
    <w:rsid w:val="00924027"/>
    <w:rsid w:val="0093072A"/>
    <w:rsid w:val="0095009E"/>
    <w:rsid w:val="00981679"/>
    <w:rsid w:val="00986170"/>
    <w:rsid w:val="0099403E"/>
    <w:rsid w:val="009B4962"/>
    <w:rsid w:val="009B7C57"/>
    <w:rsid w:val="009C2155"/>
    <w:rsid w:val="009C778C"/>
    <w:rsid w:val="009D0E40"/>
    <w:rsid w:val="00A36E12"/>
    <w:rsid w:val="00A41C6B"/>
    <w:rsid w:val="00A46784"/>
    <w:rsid w:val="00A65471"/>
    <w:rsid w:val="00AB3054"/>
    <w:rsid w:val="00AC76E5"/>
    <w:rsid w:val="00AD6C55"/>
    <w:rsid w:val="00B07B2D"/>
    <w:rsid w:val="00B24C8D"/>
    <w:rsid w:val="00B4367E"/>
    <w:rsid w:val="00B63B94"/>
    <w:rsid w:val="00BA1DE6"/>
    <w:rsid w:val="00BD3B87"/>
    <w:rsid w:val="00BF2E08"/>
    <w:rsid w:val="00C22A24"/>
    <w:rsid w:val="00C33A5E"/>
    <w:rsid w:val="00C736D8"/>
    <w:rsid w:val="00CB673E"/>
    <w:rsid w:val="00D075E0"/>
    <w:rsid w:val="00D126EB"/>
    <w:rsid w:val="00D142ED"/>
    <w:rsid w:val="00D22971"/>
    <w:rsid w:val="00D37134"/>
    <w:rsid w:val="00D47132"/>
    <w:rsid w:val="00D733D6"/>
    <w:rsid w:val="00D762D8"/>
    <w:rsid w:val="00DD541D"/>
    <w:rsid w:val="00DD5E32"/>
    <w:rsid w:val="00DE3C7F"/>
    <w:rsid w:val="00DF4CF1"/>
    <w:rsid w:val="00E121F4"/>
    <w:rsid w:val="00E14AA0"/>
    <w:rsid w:val="00E34458"/>
    <w:rsid w:val="00E34C6A"/>
    <w:rsid w:val="00E40EF7"/>
    <w:rsid w:val="00E45D83"/>
    <w:rsid w:val="00E762A2"/>
    <w:rsid w:val="00E8790C"/>
    <w:rsid w:val="00E96A5E"/>
    <w:rsid w:val="00EA2BC0"/>
    <w:rsid w:val="00EA63A1"/>
    <w:rsid w:val="00EB48DA"/>
    <w:rsid w:val="00EB4F63"/>
    <w:rsid w:val="00ED4A92"/>
    <w:rsid w:val="00F001AD"/>
    <w:rsid w:val="00F0405D"/>
    <w:rsid w:val="00F05AA2"/>
    <w:rsid w:val="00F07B2E"/>
    <w:rsid w:val="00F109CD"/>
    <w:rsid w:val="00F46FF3"/>
    <w:rsid w:val="00F919BA"/>
    <w:rsid w:val="00FB3719"/>
    <w:rsid w:val="00FE5023"/>
    <w:rsid w:val="026E310B"/>
    <w:rsid w:val="06C09C4A"/>
    <w:rsid w:val="0B6F336D"/>
    <w:rsid w:val="0D10B68C"/>
    <w:rsid w:val="0DCC197D"/>
    <w:rsid w:val="1501873E"/>
    <w:rsid w:val="2046EDC8"/>
    <w:rsid w:val="20B7FCF5"/>
    <w:rsid w:val="267625F3"/>
    <w:rsid w:val="2B45D1F5"/>
    <w:rsid w:val="2BBBE9B3"/>
    <w:rsid w:val="3A237529"/>
    <w:rsid w:val="3AB8C53C"/>
    <w:rsid w:val="45E565A1"/>
    <w:rsid w:val="4D851B79"/>
    <w:rsid w:val="50C69560"/>
    <w:rsid w:val="537441C9"/>
    <w:rsid w:val="5DC54128"/>
    <w:rsid w:val="5FF4F0DF"/>
    <w:rsid w:val="7276E03E"/>
    <w:rsid w:val="7E4444A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lang w:val="en-MY" w:eastAsia="en-MY"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rPr>
      <w:sz w:val="22"/>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Segoe UI" w:hAnsi="Segoe UI" w:cs="Segoe UI"/>
      <w:sz w:val="18"/>
      <w:szCs w:val="18"/>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unhideWhenUsed/>
    <w:rPr>
      <w:b/>
      <w:bCs/>
    </w:rPr>
  </w:style>
  <w:style w:type="paragraph" w:styleId="Notedebasdepage">
    <w:name w:val="footnote text"/>
    <w:basedOn w:val="Normal"/>
    <w:link w:val="NotedebasdepageCar"/>
    <w:uiPriority w:val="99"/>
    <w:semiHidden/>
    <w:unhideWhenUsed/>
    <w:pPr>
      <w:widowControl w:val="0"/>
      <w:snapToGrid w:val="0"/>
      <w:spacing w:after="0" w:line="240" w:lineRule="auto"/>
    </w:pPr>
    <w:rPr>
      <w:rFonts w:ascii="Century" w:hAnsi="Century" w:cs="Times New Roman"/>
      <w:kern w:val="2"/>
      <w:sz w:val="21"/>
      <w:szCs w:val="24"/>
      <w:lang w:val="en-GB" w:eastAsia="ja-JP"/>
    </w:rPr>
  </w:style>
  <w:style w:type="character" w:styleId="Marquedannotation">
    <w:name w:val="annotation reference"/>
    <w:basedOn w:val="Policepardfaut"/>
    <w:uiPriority w:val="99"/>
    <w:unhideWhenUsed/>
    <w:qFormat/>
    <w:rPr>
      <w:sz w:val="16"/>
      <w:szCs w:val="16"/>
    </w:rPr>
  </w:style>
  <w:style w:type="character" w:styleId="Lienhypertextesuivi">
    <w:name w:val="FollowedHyperlink"/>
    <w:basedOn w:val="Policepardfaut"/>
    <w:uiPriority w:val="99"/>
    <w:semiHidden/>
    <w:unhideWhenUsed/>
    <w:rPr>
      <w:color w:val="954F72" w:themeColor="followedHyperlink"/>
      <w:u w:val="single"/>
    </w:rPr>
  </w:style>
  <w:style w:type="character" w:styleId="Marquenotebasdepage">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CommentaireCar">
    <w:name w:val="Commentaire Car"/>
    <w:basedOn w:val="Policepardfaut"/>
    <w:link w:val="Commentaire"/>
    <w:uiPriority w:val="99"/>
    <w:semiHidden/>
    <w:rPr>
      <w:sz w:val="20"/>
      <w:szCs w:val="20"/>
    </w:rPr>
  </w:style>
  <w:style w:type="paragraph" w:customStyle="1" w:styleId="NoSpacing1">
    <w:name w:val="No Spacing1"/>
    <w:uiPriority w:val="1"/>
    <w:qFormat/>
    <w:pPr>
      <w:spacing w:after="0" w:line="240" w:lineRule="auto"/>
    </w:pPr>
    <w:rPr>
      <w:sz w:val="22"/>
      <w:szCs w:val="22"/>
      <w:lang w:val="fr-CH" w:eastAsia="en-US"/>
    </w:rPr>
  </w:style>
  <w:style w:type="character" w:customStyle="1" w:styleId="ListParagraphChar">
    <w:name w:val="List Paragraph Char"/>
    <w:basedOn w:val="Policepardfaut"/>
    <w:link w:val="ListParagraph1"/>
    <w:uiPriority w:val="34"/>
    <w:locked/>
    <w:rPr>
      <w:lang w:val="en-GB"/>
    </w:rPr>
  </w:style>
  <w:style w:type="paragraph" w:customStyle="1" w:styleId="ListParagraph1">
    <w:name w:val="List Paragraph1"/>
    <w:basedOn w:val="Normal"/>
    <w:link w:val="ListParagraphChar"/>
    <w:uiPriority w:val="34"/>
    <w:qFormat/>
    <w:pPr>
      <w:ind w:left="720"/>
      <w:contextualSpacing/>
    </w:pPr>
    <w:rPr>
      <w:lang w:val="en-GB"/>
    </w:rPr>
  </w:style>
  <w:style w:type="paragraph" w:customStyle="1" w:styleId="Default">
    <w:name w:val="Default"/>
    <w:qFormat/>
    <w:pPr>
      <w:autoSpaceDE w:val="0"/>
      <w:autoSpaceDN w:val="0"/>
      <w:adjustRightInd w:val="0"/>
      <w:spacing w:after="0" w:line="240" w:lineRule="auto"/>
    </w:pPr>
    <w:rPr>
      <w:rFonts w:ascii="Calibri" w:hAnsi="Calibri" w:cs="Calibri"/>
      <w:color w:val="000000"/>
      <w:sz w:val="24"/>
      <w:szCs w:val="24"/>
      <w:lang w:val="fr-CH" w:eastAsia="en-US"/>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NotedebasdepageCar">
    <w:name w:val="Note de bas de page Car"/>
    <w:basedOn w:val="Policepardfaut"/>
    <w:link w:val="Notedebasdepage"/>
    <w:uiPriority w:val="99"/>
    <w:semiHidden/>
    <w:rPr>
      <w:rFonts w:ascii="Century" w:hAnsi="Century" w:cs="Times New Roman"/>
      <w:kern w:val="2"/>
      <w:sz w:val="21"/>
      <w:szCs w:val="24"/>
      <w:lang w:val="en-GB" w:eastAsia="ja-JP"/>
    </w:rPr>
  </w:style>
  <w:style w:type="paragraph" w:styleId="Paragraphedeliste">
    <w:name w:val="List Paragraph"/>
    <w:basedOn w:val="Normal"/>
    <w:uiPriority w:val="99"/>
    <w:pPr>
      <w:ind w:left="720"/>
      <w:contextualSpacing/>
    </w:pPr>
  </w:style>
  <w:style w:type="character" w:customStyle="1" w:styleId="Mentionnonrsolue1">
    <w:name w:val="Mention non résolue1"/>
    <w:basedOn w:val="Policepardfaut"/>
    <w:uiPriority w:val="99"/>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lang w:val="en-MY" w:eastAsia="en-MY"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rPr>
      <w:sz w:val="22"/>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Segoe UI" w:hAnsi="Segoe UI" w:cs="Segoe UI"/>
      <w:sz w:val="18"/>
      <w:szCs w:val="18"/>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unhideWhenUsed/>
    <w:rPr>
      <w:b/>
      <w:bCs/>
    </w:rPr>
  </w:style>
  <w:style w:type="paragraph" w:styleId="Notedebasdepage">
    <w:name w:val="footnote text"/>
    <w:basedOn w:val="Normal"/>
    <w:link w:val="NotedebasdepageCar"/>
    <w:uiPriority w:val="99"/>
    <w:semiHidden/>
    <w:unhideWhenUsed/>
    <w:pPr>
      <w:widowControl w:val="0"/>
      <w:snapToGrid w:val="0"/>
      <w:spacing w:after="0" w:line="240" w:lineRule="auto"/>
    </w:pPr>
    <w:rPr>
      <w:rFonts w:ascii="Century" w:hAnsi="Century" w:cs="Times New Roman"/>
      <w:kern w:val="2"/>
      <w:sz w:val="21"/>
      <w:szCs w:val="24"/>
      <w:lang w:val="en-GB" w:eastAsia="ja-JP"/>
    </w:rPr>
  </w:style>
  <w:style w:type="character" w:styleId="Marquedannotation">
    <w:name w:val="annotation reference"/>
    <w:basedOn w:val="Policepardfaut"/>
    <w:uiPriority w:val="99"/>
    <w:unhideWhenUsed/>
    <w:qFormat/>
    <w:rPr>
      <w:sz w:val="16"/>
      <w:szCs w:val="16"/>
    </w:rPr>
  </w:style>
  <w:style w:type="character" w:styleId="Lienhypertextesuivi">
    <w:name w:val="FollowedHyperlink"/>
    <w:basedOn w:val="Policepardfaut"/>
    <w:uiPriority w:val="99"/>
    <w:semiHidden/>
    <w:unhideWhenUsed/>
    <w:rPr>
      <w:color w:val="954F72" w:themeColor="followedHyperlink"/>
      <w:u w:val="single"/>
    </w:rPr>
  </w:style>
  <w:style w:type="character" w:styleId="Marquenotebasdepage">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CommentaireCar">
    <w:name w:val="Commentaire Car"/>
    <w:basedOn w:val="Policepardfaut"/>
    <w:link w:val="Commentaire"/>
    <w:uiPriority w:val="99"/>
    <w:semiHidden/>
    <w:rPr>
      <w:sz w:val="20"/>
      <w:szCs w:val="20"/>
    </w:rPr>
  </w:style>
  <w:style w:type="paragraph" w:customStyle="1" w:styleId="NoSpacing1">
    <w:name w:val="No Spacing1"/>
    <w:uiPriority w:val="1"/>
    <w:qFormat/>
    <w:pPr>
      <w:spacing w:after="0" w:line="240" w:lineRule="auto"/>
    </w:pPr>
    <w:rPr>
      <w:sz w:val="22"/>
      <w:szCs w:val="22"/>
      <w:lang w:val="fr-CH" w:eastAsia="en-US"/>
    </w:rPr>
  </w:style>
  <w:style w:type="character" w:customStyle="1" w:styleId="ListParagraphChar">
    <w:name w:val="List Paragraph Char"/>
    <w:basedOn w:val="Policepardfaut"/>
    <w:link w:val="ListParagraph1"/>
    <w:uiPriority w:val="34"/>
    <w:locked/>
    <w:rPr>
      <w:lang w:val="en-GB"/>
    </w:rPr>
  </w:style>
  <w:style w:type="paragraph" w:customStyle="1" w:styleId="ListParagraph1">
    <w:name w:val="List Paragraph1"/>
    <w:basedOn w:val="Normal"/>
    <w:link w:val="ListParagraphChar"/>
    <w:uiPriority w:val="34"/>
    <w:qFormat/>
    <w:pPr>
      <w:ind w:left="720"/>
      <w:contextualSpacing/>
    </w:pPr>
    <w:rPr>
      <w:lang w:val="en-GB"/>
    </w:rPr>
  </w:style>
  <w:style w:type="paragraph" w:customStyle="1" w:styleId="Default">
    <w:name w:val="Default"/>
    <w:qFormat/>
    <w:pPr>
      <w:autoSpaceDE w:val="0"/>
      <w:autoSpaceDN w:val="0"/>
      <w:adjustRightInd w:val="0"/>
      <w:spacing w:after="0" w:line="240" w:lineRule="auto"/>
    </w:pPr>
    <w:rPr>
      <w:rFonts w:ascii="Calibri" w:hAnsi="Calibri" w:cs="Calibri"/>
      <w:color w:val="000000"/>
      <w:sz w:val="24"/>
      <w:szCs w:val="24"/>
      <w:lang w:val="fr-CH" w:eastAsia="en-US"/>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NotedebasdepageCar">
    <w:name w:val="Note de bas de page Car"/>
    <w:basedOn w:val="Policepardfaut"/>
    <w:link w:val="Notedebasdepage"/>
    <w:uiPriority w:val="99"/>
    <w:semiHidden/>
    <w:rPr>
      <w:rFonts w:ascii="Century" w:hAnsi="Century" w:cs="Times New Roman"/>
      <w:kern w:val="2"/>
      <w:sz w:val="21"/>
      <w:szCs w:val="24"/>
      <w:lang w:val="en-GB" w:eastAsia="ja-JP"/>
    </w:rPr>
  </w:style>
  <w:style w:type="paragraph" w:styleId="Paragraphedeliste">
    <w:name w:val="List Paragraph"/>
    <w:basedOn w:val="Normal"/>
    <w:uiPriority w:val="99"/>
    <w:pPr>
      <w:ind w:left="720"/>
      <w:contextualSpacing/>
    </w:pPr>
  </w:style>
  <w:style w:type="character" w:customStyle="1" w:styleId="Mentionnonrsolue1">
    <w:name w:val="Mention non résolue1"/>
    <w:basedOn w:val="Policepardfaut"/>
    <w:uiPriority w:val="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194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notes/tb-net/event-report-promoting-quality-independence-and-diversity-in-treaty-body-members/20178593651281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41211-89A5-3A4E-B9BD-B3E6DDD5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1130</Words>
  <Characters>6221</Characters>
  <Application>Microsoft Macintosh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Paolazzi</dc:creator>
  <cp:lastModifiedBy>Lori Brumat</cp:lastModifiedBy>
  <cp:revision>2</cp:revision>
  <dcterms:created xsi:type="dcterms:W3CDTF">2018-05-29T12:03:00Z</dcterms:created>
  <dcterms:modified xsi:type="dcterms:W3CDTF">2018-05-29T12:03:00Z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